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ATAS/1011/2009 vom 14. August 2009</w:t>
      </w:r>
    </w:p>
    <w:p>
      <w:r>
        <w:t>GE Cour de justice, 2009-08-14, FR</w:t>
      </w:r>
    </w:p>
    <w:p>
      <w:r>
        <w:rPr>
          <w:b/>
        </w:rPr>
        <w:t xml:space="preserve">Quelle: </w:t>
      </w:r>
      <w:r>
        <w:t>https://mcp.opencaselaw.ch/entscheid/ge_gerichte_ATAS_1011_2009</w:t>
      </w:r>
    </w:p>
    <w:p>
      <w:r>
        <w:t>FR: GE_GERICHTE ATAS/1011/2009 du 14 août 2009</w:t>
      </w:r>
    </w:p>
    <w:p>
      <w:r>
        <w:t>IT: GE_GERICHTE ATAS/1011/2009 del 14 agosto 2009</w:t>
      </w:r>
    </w:p>
    <w:p>
      <w:pPr>
        <w:pStyle w:val="Heading2"/>
      </w:pPr>
      <w:r>
        <w:t>Erwägungen</w:t>
      </w:r>
    </w:p>
    <w:p>
      <w:r>
        <w:rPr>
          <w:b/>
        </w:rPr>
        <w:t>E. 1</w:t>
      </w:r>
    </w:p>
    <w:p>
      <w:r>
        <w:t>Conformément à l'art. 56V al. 1 let. a ch.1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 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du 31 mai 2005, de sorte que les dispositions légales seront citées dans leur nouvelle teneur.</w:t>
      </w:r>
    </w:p>
    <w:p>
      <w:r>
        <w:rPr>
          <w:b/>
        </w:rPr>
        <w:t>E. 3</w:t>
      </w:r>
    </w:p>
    <w:p>
      <w:r>
        <w:t>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w:t>
      </w:r>
    </w:p>
    <w:p>
      <w:r>
        <w:t>A/130/2009 - 6/11 -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Le Tribunal fédéral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Schweizeriches Sozialversicherungschreit,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en règle générale réputé suffisamment connu au sens de l'art. 52 al. 3 LAVS lors du dépôt de l'état de collocation ou de la publication de la suspension de la liquidation de la faillite faute d'actifs (ATF 129 V 193 consid. 2.3 p. 195 sv. [rendu au sujet de l'ancien art. 82 al. 1 RAVS et toujours valable sous l'empire de l'art. 52 al. 3 LAVS, arrêt H 18/06 du</w:t>
      </w:r>
    </w:p>
    <w:p>
      <w:r>
        <w:rPr>
          <w:b/>
        </w:rPr>
        <w:t>E. 8</w:t>
      </w:r>
    </w:p>
    <w:p>
      <w:r>
        <w:t>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w:t>
      </w:r>
    </w:p>
    <w:p>
      <w:r>
        <w:t>A/130/2009 - 9/11 -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Selon la jurisprudence (ATF 126 V 237), la personne qui occupe, au sein d'une société à responsabilité limitée, une position correspondant à celle d'un gérant est soumis à des obligations de contrôle et de surveillance étendues, dont le non- respect peut engager sa responsabilité (art. 827 en corrélation avec l'art. 754 CO). Sont assimilés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w:t>
      </w:r>
    </w:p>
    <w:p>
      <w:r>
        <w:rPr>
          <w:b/>
        </w:rPr>
        <w:t>E. 9</w:t>
      </w:r>
    </w:p>
    <w:p>
      <w:r>
        <w:t>En sa qualité d'organe formel de la société, possédant de surcroît le droit de signature individuelle, il incombait au recourant, nonobstant le mode de répartition interne des tâches au sein de la société, de s'assurer personnellement que les cotisations paritaires afférentes aux salaires versés fussent effectivement payées à la caisse de compensation, conformément aux prescriptions légales (art. 14 al. 1 LAVS en corrélation avec les art. 34 ss RAVS). Le recourant ne saurait se libérer de cette responsabilité en soutenant qu'il n'a jamais suivi les affaires de la société, car cela constitue déjà en soi un cas de négligence grave. Il allègue aussi que son associé refusait de lui donner des informations. Mais il n'a pris aucune mesure concrète en vue de mettre réellement fin à la gestion de son coassocié, qu'il a qualifié de « magouilleur », alors même que ce dernier ne s'acquittait pas de son salaire, selon ce qui était convenu. Il a seulement fait modifier l'inscription au registre du commerce, pour ce qui le concerne, sans se retirer de la société. Le</w:t>
      </w:r>
    </w:p>
    <w:p>
      <w:r>
        <w:t>A/130/2009 - 10/11 - recourant n'a pas cherché à savoir ce que faisait son coassocié, ni à s'enquérir auprès de la caisse quant au paiement ou non des charges sociales. Quant à l'assertion selon laquelle les salaires versés en 2003 concerneraient en réalité une autre société, elle n'est étayée par aucune pièce du dossier, étant rappelé que le recourant a admis avoir mis sa patente de cafetier à disposition pour un autre établissement, dont la preuve n'a pas été rapportée qu'il n'était pas géré par la société faillie.</w:t>
      </w:r>
    </w:p>
    <w:p>
      <w:r>
        <w:rPr>
          <w:b/>
        </w:rPr>
        <w:t>E. 10</w:t>
      </w:r>
    </w:p>
    <w:p>
      <w:r>
        <w:t>En l'occurrence, il convient d'admettre que l'attitude passive du recourant, laquelle est sans conteste en relation de causalité naturelle et adéquate avec le dommage subi par l'intimée, constitue une négligence grave entraînant obligation de réparer le dommage au sens de l'art. 52 LAVS. Pour le surplus, le Tribunal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w:t>
      </w:r>
    </w:p>
    <w:p>
      <w:r>
        <w:rPr>
          <w:b/>
        </w:rPr>
        <w:t>E. 11</w:t>
      </w:r>
    </w:p>
    <w:p>
      <w:r>
        <w:t>Mal fondé, le recours et rejeté.</w:t>
      </w:r>
    </w:p>
    <w:p>
      <w:r>
        <w:t>A/130/2009 - 11/11 -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