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ATAS/1010/2022 vom 21. November 2022</w:t>
      </w:r>
    </w:p>
    <w:p>
      <w:r>
        <w:t>GE Cour de justice, 2022-11-21, FR</w:t>
      </w:r>
    </w:p>
    <w:p>
      <w:r>
        <w:rPr>
          <w:b/>
        </w:rPr>
        <w:t xml:space="preserve">Quelle: </w:t>
      </w:r>
      <w:r>
        <w:t>https://mcp.opencaselaw.ch/entscheid/ge_gerichte_ATAS_1010_2022</w:t>
      </w:r>
    </w:p>
    <w:p>
      <w:r>
        <w:t>FR: GE_GERICHTE ATAS/1010/2022 du 21 novembre 2022</w:t>
      </w:r>
    </w:p>
    <w:p>
      <w:r>
        <w:t>IT: GE_GERICHTE ATAS/1010/2022 del 21 novembre 2022</w:t>
      </w:r>
    </w:p>
    <w:p>
      <w:pPr>
        <w:pStyle w:val="Heading2"/>
      </w:pPr>
      <w:r>
        <w:t>Erwägungen</w:t>
      </w:r>
    </w:p>
    <w:p>
      <w:r>
        <w:rPr>
          <w:b/>
        </w:rPr>
        <w:t>E. 1</w:t>
      </w:r>
    </w:p>
    <w:p>
      <w:r>
        <w:t>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Selon la police d’assurance, le contrat est régi par la LCA. La compétence de la chambre de céans à raison de la matière pour juger du cas d’espèce est ainsi établie.</w:t>
      </w:r>
    </w:p>
    <w:p>
      <w:r>
        <w:rPr>
          <w:b/>
        </w:rPr>
        <w:t>E. 1.2</w:t>
      </w:r>
    </w:p>
    <w:p>
      <w:r>
        <w:t>L'art. 46a LCA prescrit que le for se définit selon la loi du 24 mars 2000 sur les fors (LFors) qui a été abrogée au 1er janvier 2011 par l’entrée en vigueur du CPC, auquel il convient désormais de se référer. Sauf disposition contraire de la loi, pour les actions dirigées contre une personne morale, le for est celui de son siège (art. 10 al. 1 let. b CPC), étant précisé que l’art. 17 al. 1 CPC consacre la possibilité d’une élection de for écrite. En l’occurrence, l’art. 33 des conditions générales d’assurance collective d’une indemnité journalière en cas de maladie selon la LCA édition du 1er septembre 2016, déclarées partie intégrante au contrat d’assurance applicable en l’espèce, prévoit notamment que, pour toutes les actions au sujet dudit contrat d’assurance, sont compétents au choix soit les tribunaux du domicile suisse de la personne assurée ou des ayants droit, soit ceux du siège de l’assureur. L’art. 18 CPC prévoit par ailleurs que, sauf disposition contraire de la loi, le tribunal saisi est compétent lorsque le défendeur procède sans faire de réserve sur la compétence. La demanderesse ayant son domicile en France voisine et la défenderesse son siège à Winterthur, mais ayant procédé à Genève sans faire de réserve de compétence, la chambre de céans est également compétente à raison du lieu pour connaître de la présente demande.</w:t>
      </w:r>
    </w:p>
    <w:p>
      <w:r>
        <w:rPr>
          <w:b/>
        </w:rPr>
        <w:t>E. 2</w:t>
      </w:r>
    </w:p>
    <w:p>
      <w:r>
        <w:t>En matière d'assurance collective contre les accidents ou la maladie, l'art. 87 LCA confère un droit propre au bénéficiaire contre l'assureur, dès qu’un accident ou une maladie est survenu. Cette disposition institue une créance indépendante au profit de l'ayant droit, créance qui naît au moment de la survenance du cas d'assurance. L'employeur en tant que preneur d'assurance et la défenderesse en qualité d'assureur ont conclu un contrat collectif d'indemnité journalière selon la LCA. Par cette convention, le demandeur était couvert contre le risque de perte de gain</w:t>
      </w:r>
    </w:p>
    <w:p>
      <w:r>
        <w:t>A/2880/2021 - 7/15 - due à la maladie. Il s'agit d'une assurance au profit de tiers (cf. art. 18 al. 3 LCA), qui confère un droit propre à l'assuré qu'il peut faire valoir contre l'assureur en vertu de l'art. 87 LCA, de nature impérative (cf. art. 98 LCA; ATF 141 III 112 consid. 4.3). Par conséquent, la demanderesse possède la légitimation active pour agir contre l’assureur.</w:t>
      </w:r>
    </w:p>
    <w:p>
      <w:r>
        <w:rPr>
          <w:b/>
        </w:rPr>
        <w:t>E. 3</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 ATAS/590/2021 du 9 juin 2021 consid. 2 ; ATAS/577/2011 du 31 mai 2011 consid. 3), étant précisé que le législateur genevois a fait usage de cette possibilité (art. 134 al. 1 let. c LOJ).</w:t>
      </w:r>
    </w:p>
    <w:p>
      <w:r>
        <w:rPr>
          <w:b/>
        </w:rPr>
        <w:t>E. 4</w:t>
      </w:r>
    </w:p>
    <w:p>
      <w:r>
        <w:t>Pour le reste, la demande respecte les conditions formelles prescrites par les art. 130 et 244 CPC, ainsi que les autres conditions de recevabilité prévues par l’art. 59 CPC, de sorte qu’elle est recevable.</w:t>
      </w:r>
    </w:p>
    <w:p>
      <w:r>
        <w:rPr>
          <w:b/>
        </w:rPr>
        <w:t>E. 5.1</w:t>
      </w:r>
    </w:p>
    <w:p>
      <w:r>
        <w:t>La procédure simplifiée s'applique aux litiges portant sur des assurances complémentaires à l’assurance-maladie sociale au sens de la LAMal (art. 243 al. 2 let. f CPC). En outre, la maxime inquisitoire sociale est applicable (art. 247 CPC al. 2 let. a CPC ; ATF 141 III 569 consid. 2.3.1).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La maxime inquisitoire sociale ne modifie pas la répartition du fardeau de la preuve (arrêt du Tribunal fédéral 4C.185/2003 du 14 octobre 2003 consid. 2.1). Pour toutes les prétentions fondées sur le droit civil fédéral, l'art. 8 du Code civil suisse, du 10 décembre 1907 (CC; RS 210), en l'absence de règles contraires, répartit le fardeau de la preuve et détermine, sur cette base, laquelle des parties doit assumer les conséquences de l'échec de la preuve (ATF 133 III 323</w:t>
      </w:r>
    </w:p>
    <w:p>
      <w:r>
        <w:t>A/2880/2021 - 8/15 - consid. 4.1 non publié; ATF 130 III 321 consid. 3.1; ATF 129 III 18 consid. 2.6; ATF 127 III 519 consid. 2a). Cette disposition ne prescrit cependant pas quelles sont les mesures probatoires qui doivent être ordonnées (cf. ATF 122 III 219 consid. 3c; ATF 119 III 60 consid. 2c). Elle n'empêche pas le juge de refuser une mesure probatoire par une appréciation anticipée des preuves (ATF 121 V 150 consid. 5a). L'art. 8 CC ne dicte pas comment le juge peut forger sa conviction (ATF 122 III 219 consid. 3c; ATF 119 III 60 consid. 2c; ATF 118 II 142 consid. 3a). En tant que règle sur le fardeau de la preuve, il ne s'applique que si le juge, à l'issue de l'appréciation des preuves, ne parvient pas à se forger une conviction dans un sens positif ou négatif (ATF 132 III 626 consid. 3.4 et ATF 128 III 271 consid. 2b/aa). Ainsi, lorsque l'appréciation des preuves le convainc de la réalité ou de l'inexistence d'un fait, la question de la répartition du fardeau de la preuve ne se pose plus (ATF 128 III 271 consid. 2b/aa).</w:t>
      </w:r>
    </w:p>
    <w:p>
      <w:r>
        <w:rPr>
          <w:b/>
        </w:rPr>
        <w:t>E. 5.2</w:t>
      </w:r>
    </w:p>
    <w:p>
      <w:r>
        <w:t>En vertu de l'art. 8 CC,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et les références). Ces principes sont également applicables dans le domaine du contrat d'assurance (ATF 130 III 321 consid. 3.1). En principe, un fait est tenu pour établi lorsque le juge a pu se convaincre de la vérité d'une allégation. La loi, la doctrine et la jurisprudence ont apporté des exceptions à cette règle d'appréciation des preuves. L'allègement de la preuve est alors justifié par un « état de nécessité en matière de preuve » (Beweisnot),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ATF 130 III 321 consid. 3.2). Tel peut être le cas de la survenance d'un sinistre en matière d'assurance-vol (ATF 130 III 321 consid. 3.2) ou de l'existence d'un lien de causalité naturelle, respectivement hypothétique (ATF 132 III 715 consid. 3.2). Le degré de preuve requis se limite alors à la vraisemblance prépondérante (die überwiegende Wahrscheinlichkeit), qui est soumise à des exigences plus élevées que la simple vraisemblance (die Glaubhaftmachung). La vraisemblance prépondérante suppose que, d'un point de vue objectif, des motifs importants plaident pour l'exactitude d'une allégation, sans que d'autres possibilités ou hypothèses envisageables ne revêtent une importance significative ou n'entrent raisonnablement en considération (ATF 133 III 81 consid. 4.2.2; ATF 132 III 715 consid. 3.1; ATF 130 III 321 consid. 3.3).</w:t>
      </w:r>
    </w:p>
    <w:p>
      <w:r>
        <w:t>A/2880/2021 - 9/15 - En vertu de l'art. 8 CC,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3.4). Le juge doit procéder à une appréciation d'ensemble des éléments qui lui sont apportés et dire s'il retient qu'une vraisemblance prépondérante a été établie (ATF 130 III 321 consid. 3.4; arrêt du Tribunal fédéral 4A_61/2011 du 26 avril 2011 consid. 2.1.1).</w:t>
      </w:r>
    </w:p>
    <w:p>
      <w:r>
        <w:rPr>
          <w:b/>
        </w:rPr>
        <w:t>E. 5.3</w:t>
      </w:r>
    </w:p>
    <w:p>
      <w:r>
        <w:t>Une expertise privée n'est pas un moyen de preuve au sens de l'art. 168 al. 1 let. d CPC; elle doit être assimilée aux allégués de la partie qui la produit (ATF 141 III 433 consid. 2.6; 140 III 24 consid. 3.3.3). Seules doivent être prouvées les allégations qui sont expressément contestées (cf. art. 150 al. 1 CPC) ; une telle contestation doit être suffisamment précise afin que l'on puisse déterminer quelles sont les allégations du demandeur qui sont contestées. En d'autres termes, la contestation doit être concrète à telle enseigne que la partie qui a allégué les faits sache quels sont ceux d'entre eux qu'il lui incombe de prouver. Le degré de la motivation d'une allégation exerce une influence sur le degré exigible de motivation d'une contestation. Plus détaillées sont certaines allégations de la partie qui a le fardeau de la preuve, plus concrètement la partie adverse doit expliquer quels sont au sein de celles-ci les éléments de fait qu'elle conteste. Le fardeau de la contestation ne saurait toutefois entraîner un renversement du fardeau de la preuve (ATF 141 III 433 consid. 2.6 et les références; arrêt du Tribunal fédéral 4A_318/2016 du 3 août 2016). Lorsqu'une allégation de partie est contestée de manière circonstanciée par la partie adverse, une expertise privée ne suffit pas à prouver une telle allégation. En tant qu'allégation de partie, une expertise privée peut, combinée à des indices dont l'existence est démontrée par des moyens de preuve, amener une preuve. Toutefois, si elle n'est pas corroborée par des indices, elle ne peut être considérée comme prouvée en tant qu'allégation contestée (ATF 141 III 433 consid. 2.6; arrêts du Tribunal fédéral 4A_247/2020 du 7 décembre 2020 consid. 4 et 4A_626/2015 du 24 mai 2016 consid. 2.5). Le principe de la libre appréciation des preuves s'applique lorsqu'il s'agit de se prononcer sur des prestations en matière d'assurance sociale. Rien ne justifie de ne pas s'y référer également lorsque, comme en l'espèce, une prétention découlant d'une assurance complémentaire à l'assurance sociale est en jeu. Selon ce principe,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(arrêt du Tribunal fédéral 4A_5/2011 du</w:t>
      </w:r>
    </w:p>
    <w:p>
      <w:r>
        <w:t>A/2880/2021 - 10/15 - 24 mars 2011 consid. 4.2). S'il existe des avis contradictoires, il ne peut trancher l'affaire sans indiquer les raisons pour lesquelles il se fonde sur une opinion plutôt que sur 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 ATF 122 V 157 consid. 1c et les références ; cf. également ATF 134 V 231 consid 5.1 ; arrêt du Tribunal fédéral 4A_412/2010 du 27 septembre 2010 consid. 3.1). Par ailleurs, le juge doit avoir égard au fait que la relation de confiance unissant un patient à son médecin traitant peut influencer l'objectivité ou l'impartialité de celui-ci ; cela ne justifie cependant pas en soi d'évincer tous les avis émanant des médecins traitants. Il faut effectuer une appréciation globale de la valeur probante du rapport du médecin traitant au regard des autres pièces médicales (ATF 125 V 351 consid. 3b/cc ; arrêt du Tribunal fédéral 9C_12/2012 du 20 juillet 2012 consid. 7.1). Les mesures d'instruction ordonnées par l'assureur, à savoir notamment l'examen par un médecin, ne sont pas des expertises au sens strict du terme, à moins que l'assureur n'interpelle le demandeur sur le libellé des questions ainsi que le choix de l'expert et lui donne l'occasion de se déterminer avant l'exécution de l'acte d'instruction projeté. L'on ne saurait toutefois leur dénier toute valeur probante de ce seul fait. Il faut en effet examiner si le médecin commis par l'assureur s'est penché sur les questions médicales litigieuses et a donné à celui-ci des indications utiles pour décider d'une éventuelle prise en charge (ATA/143/1999 du 2 mars 1999). En matière de certificats médicaux, on peut rappeler les considérants suivants, développés en matière de droit du travail mais qui s'appliquent mutatis mutandis à la présente procédure. Le juge tient généralement compte du certificat médical, pour autant qu'il n'ait pas de doutes fondés sur son exactitude. Il s'agit ainsi d'une preuve apparente (Anscheinsbeweis). Un certificat n'a ainsi pas valeur de preuve absolue, et l'employeur peut le mettre en doute en y opposant ses propres preuves. S'il y parvient, l'employé devra amener la preuve de son incapacité de travail que le certificat médical ne suffit alors plus à établir. La preuve apparente ne devient toutefois caduque que lorsqu'il est démontré qu'il existe une possibilité sérieuse que les faits se soient déroulés différemment. Ainsi, le juge peut s'écarter du certificat médical lorsqu'à la lumière des circonstances, il apparaît qu'il n'y a pas</w:t>
      </w:r>
    </w:p>
    <w:p>
      <w:r>
        <w:t>A/2880/2021 - 11/15 - eu d'incapacité de travail effective (Roland MÜLLER, Arztzeugnisse in arbeitsrechtlichen Streitigkeiten, Pratique juridique actuelle [PJA], 2010/2, pp. 169-170). En cas de doute sur l'existence de l'incapacité de travail, il appartient à l'assureur d'apporter la preuve du contraire, le cas échéant, en demandant à l'assuré de se soumettre à un examen médical auprès du médecin- conseil ou d'un autre médecin (Jean-Michel DUC, Questions de procédure en assurance perte de gain maladie LCA, in : Revue suisse des assurances sociales et de la prévoyance professionnelle, Berne 2010, p. 147). La remise d'un certificat médical rétroactif n'est pas d'emblée caduque, mais n'est pas sans poser de problèmes. Un médecin ne peut en effet juger qu'avec une certitude limitée si la prétendue incapacité de travail existait déjà avant l'examen. Un tel certificat doit au moins contenir la date du début de l'incapacité de travail, sa date d'établissement, ainsi que la date du premier traitement. La durée de la rétroactivité du constat ne devrait pas être trop longue (arrêt du Tribunal administratif fédéral A-6410/2014 du 1er septembre 2015 consid. 4.3.4.2). Sur un plan scientifique, il est généralement possible au médecin de déterminer, surtout s'il s'agit de son propre patient, que trois ou quatre jours avant, voire plus selon les circonstances et la pathologie constatées, le travailleur était dans l'incapacité de fournir sa prestation. Le caractère rétroactif doit cependant inciter le juge à la prudence. S'agissant de maladies d'origine psychique, la précision avec laquelle il est possible de déterminer le moment exact où débute l'incapacité de travail décroît rapidement avec l'écoulement du temps, surtout lorsque seules les déclarations du patient fondent le diagnostic du médecin (Olivier SUBILIA/Jean-Louis DUC, Droit du travail, Lausanne 2010, p. 591).</w:t>
      </w:r>
    </w:p>
    <w:p>
      <w:r>
        <w:rPr>
          <w:b/>
        </w:rPr>
        <w:t>E. 6.1</w:t>
      </w:r>
    </w:p>
    <w:p>
      <w:r>
        <w:t>Selon les art. 245 et 246 CPC, la procédure simplifiée implique en principe la tenue d’une audience. En présence d’une demande motivée, une audience de débats principaux doit être tenue en procédure simplifiée, la lettre française de l’art. 245 al. 2 CPC étant à cet égard imprécise (ATF 140 III 450 consid. 3.2) ; les parties peuvent toutefois validement renoncer à cette audience en application de l’art. 233 CPC (ATF 140 III 450 consid. 3.2). Cette renonciation n’est pas soumise à une forme particulière, et peut notamment être réalisée par actes concluants (ATF 140 III 450 consid. 3.2 ; arrêt du Tribunal fédéral 4A_308/2020 du 5 novembre 2020 consid. 3.1). Par ailleurs, une renonciation par actes concluants aux débats principaux doit être admise si les parties, représentées par des mandataires professionnels ou des collaborateurs de leur service juridique, ne requièrent pas expressément la tenue d'une audience de débats, après que la cour cantonale, dans le cadre de la procédure initiée par le dépôt de la demande, a recueilli les dernières observations des plaideurs (arrêt du Tribunal fédéral 4A_318/2016 du 3 août 2016 consid. 2.1).</w:t>
      </w:r>
    </w:p>
    <w:p>
      <w:r>
        <w:t>A/2880/2021 - 12/15 -</w:t>
      </w:r>
    </w:p>
    <w:p>
      <w:r>
        <w:rPr>
          <w:b/>
        </w:rPr>
        <w:t>E. 6.2</w:t>
      </w:r>
    </w:p>
    <w:p>
      <w:r>
        <w:t>En l’espèce, la tenue d’une audience de débats a été sollicitée par la demanderesse et a eu lieu le 2 mai 2022. La demanderesse avait requis l’audition de son médecin traitant, qui a été ordonnée. Ledit médecin a toutefois refusé de comparaitre au motif du secret médcial de droit français qui le lui interdisait.</w:t>
      </w:r>
    </w:p>
    <w:p>
      <w:r>
        <w:rPr>
          <w:b/>
        </w:rPr>
        <w:t>E. 6.3</w:t>
      </w:r>
    </w:p>
    <w:p>
      <w:r>
        <w:t>Les parties ont ensuite été invitées à formuler les questions qu’elles souhaiteraient lui voir poser. La demanderesse n’a pas déposé de liste dans le délai imparti, de sorte que la cause a été gardée à juger.</w:t>
      </w:r>
    </w:p>
    <w:p>
      <w:r>
        <w:rPr>
          <w:b/>
        </w:rPr>
        <w:t>E. 7</w:t>
      </w:r>
    </w:p>
    <w:p>
      <w:r>
        <w:t>Le litige porte sur le droit de la demanderesse à percevoir des indemnités journalières du 13 avril au 31 mai 2021. Il s’agit plus particulièrement de déterminer si la demanderesse présentait une incapacité de travail durant cette période.</w:t>
      </w:r>
    </w:p>
    <w:p>
      <w:r>
        <w:rPr>
          <w:b/>
        </w:rPr>
        <w:t>E. 8.1</w:t>
      </w:r>
    </w:p>
    <w:p>
      <w:r>
        <w:t>Depuis l'entrée en vigueur de la LAMal, le 1er janvier 1996, les assurances complémentaires à l'assurance-maladie sociale au sens de cette loi sont soumises au droit privé, plus particulièrement à la LCA (ATF 124 III 44 consid. 1a/aa). Comme l'art. 100 al. 1 LCA renvoie au Code des obligations du 30 mars 1911 (CO - RS 220) pour tout ce qu'elle ne règle pas elle-même, la jurisprudence en matière de contrats est applicable. D'après celle-ci, les conditions générales font partie intégrante du contrat. Les dispositions contractuelles préformulées sont en principe interprétées selon les mêmes règles que les clauses contractuelles rédigées individuellement (ATF 133 III 675 consid. 3.3; ATF 122 III 118 consid. 2a; ATF 117 II 609 consid. 6c). La LCA ne comporte pas de dispositions particulières à l'assurance d'indemnités journalières en cas de maladie ou d'accident, de sorte qu'en principe, le droit aux prestations se détermine exclusivement d'après la convention des parties (ATF 133 III 185 consid. 2). Le droit aux prestations d'assurances se détermine donc sur la base des dispositions contractuelles liant l'assuré et l'assureur, en particulier des conditions générales ou spéciales d'assurance (arrêt du Tribunal fédéral 5C.263/2000 du 6 mars 2001 consid. 4a).</w:t>
      </w:r>
    </w:p>
    <w:p>
      <w:r>
        <w:rPr>
          <w:b/>
        </w:rPr>
        <w:t>E. 8.2</w:t>
      </w:r>
    </w:p>
    <w:p>
      <w:r>
        <w:t>En l'espèce, la police d'assurance prévoit une indemnité journalière en cas de maladie s'élevant à 80% du salaire assuré, versée pendant sept cent trente jours au maximum, sous déduction d'un délai d'attente de trente jours. Selon l'art. D 1.1 des CGA, par maladie, on entend toute atteinte à la santé physique, mentale ou psychique subie par la personne assurée, qui est principalement imputable à des causes médicales, et qui n’est pas due à un accident, exige un examen ou un traitement médical, provoque une incapacité de travail.</w:t>
      </w:r>
    </w:p>
    <w:p>
      <w:r>
        <w:t>A/2880/2021 - 13/15 - Selon l’art. D2, est réputée incapacité de travail toute perte, totale ou partielle, de l'aptitude de l'assuré à accomplir dans sa profession ou son domaine d'activité le travail qui peut raisonnablement être exigé de lui, si cette perte résulte d'une maladie. À teneur de l'art. B 9.2 des CGA, l'indemnité journalière est allouée pleinement en cas d’incapacité de travail totale et proportionnellement au degré de cette incapacité, si elle est partielle, mais d’au moins 25%.</w:t>
      </w:r>
    </w:p>
    <w:p>
      <w:r>
        <w:rPr>
          <w:b/>
        </w:rPr>
        <w:t>E. 9</w:t>
      </w:r>
    </w:p>
    <w:p>
      <w:r>
        <w:t>En l’espèce, l’assureur a refusé tout versement à la demanderesse pour la période du 13 avril au 31 mai 2021. Il est fondé sur les rapports de ses médecins conseils, les Drs F______ et G______, selon lesquels l’état de santé de l’assurée, que ce soit sur le plan physique que sur le plan psychique, ne justifiait pas une incapacité de travail et en conséquence une prise en charge par l’assurance perte de gain, postérieurement au délai d’attente de 30 jours. La demanderesse le conteste, sur la base des constats de son médecin traitant.</w:t>
      </w:r>
    </w:p>
    <w:p>
      <w:r>
        <w:rPr>
          <w:b/>
        </w:rPr>
        <w:t>E. 9.1</w:t>
      </w:r>
    </w:p>
    <w:p>
      <w:r>
        <w:t>En l’occurrence, les rapports et attestations du médecin traitant de la demanderesse se résument à la transcription des symptômes qu’elle présentait ainsi que le traitement médicamenteux prescrit et à la fixation d’un arrêt de travail, sans expliquer en quoi les premiers influençaient le second. Son audition par la chambre de céans, requise par la demanderesse, aurait peut- être permis de comprendre cette corrélation, du moins les fondements de son opinion, mais son refus de se présenter sous le couvert du secret médical dont son ordre ne l’aurait pas délié, ne l’a pas permis. Des questions écrites n’ont pas non plus pu lui être posées, la demanderesse n’ayant pas déféré à l’invitation de la chambre de céans de déposer sa liste de questions, alors que son audition écrite avait été envisagée et qu’elle aurait pu lui permettre de démontrer sa position. Force est de constater que la demanderesse a renoncé à démontrer la position de son médecin.</w:t>
      </w:r>
    </w:p>
    <w:p>
      <w:r>
        <w:rPr>
          <w:b/>
        </w:rPr>
        <w:t>E. 9.2</w:t>
      </w:r>
    </w:p>
    <w:p>
      <w:r>
        <w:t>A l’inverse, les rapports de médecins conseils de la défenderesse, basés sur les constats du médecin traitant de la demanderesse, analysent de manière circonstanciée les symptômes dont elle se plaignait et leur incidence sur sa capacité de travail. Il en ressort non seulement que ses atteintes physiques – dont la persistance sur plus d’un mois posait question notamment au regard du contexte météorologique - pouvaient être traitées par une médication standard, mais également que son atteinte sur le plan psychique était circonstancielle, son acceptation de reprendre son poste dépendant de la personne avec laquelle elle interagirait sur son lieu de travail. Selon les médecins conseil, ni l’une ni l’autre n’exerçait d’influence sur sa capacité de travail, à tout le moins une éventuelle incapacité en résultant dépasserait le champ d’application de l’assurance perte de gain.</w:t>
      </w:r>
    </w:p>
    <w:p>
      <w:r>
        <w:t>A/2880/2021 - 14/15 - Ce point de vue est convaincant ce d’autant que la demanderesse ne démontre pas pour quel motif elle ne pouvait pas se présenter à son poste, au-delà de son incapacité à porter l’uniforme requis. Or, si l’inconfort occasionné par le frottement des vêtements et/ou chaussures sur les parties irritées de sa peau peut être entendable, il ne saurait justifier à lui-seul une incapacité de travail, la demanderesse n’alléguant au demeurant ni que son employeur aurait refusé un aménagement temporaire des exigences de cet uniforme au regard de sa problématique dermatologique, ni même que le traitement médicamenteux qu’elle prenait n’était pas suffisant pour lui permettre de suivre les prescriptions vestimentaires de son employeur.</w:t>
      </w:r>
    </w:p>
    <w:p>
      <w:r>
        <w:rPr>
          <w:b/>
        </w:rPr>
        <w:t>E. 10</w:t>
      </w:r>
    </w:p>
    <w:p>
      <w:r>
        <w:t>Aussi n'est-il pas établi, même au degré de la vraisemblance prépondérante, que la demanderesse, à laquelle incombait le fardeau de la preuve, était en incapacité de travail pour cause de maladie du 13 avril au 31 mai 2021. Partant, une des conditions indispensables à l’existence de sa prétention pécuniaire n’est pas remplie, étant rappelé le délai d’attente de trente jours prévu dans les conditions d’assurance. La demande doit dès lors être rejetée. Pour le surplus, la procédure est gratuite (art. 114 let. e CPC).</w:t>
      </w:r>
    </w:p>
    <w:p>
      <w:r>
        <w:t>A/2880/2021 - 15/15 -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