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ATAS/1010/2016 vom 6. Dezember 2016</w:t>
      </w:r>
    </w:p>
    <w:p>
      <w:r>
        <w:t>GE Cour de justice, 2016-12-06, FR</w:t>
      </w:r>
    </w:p>
    <w:p>
      <w:r>
        <w:rPr>
          <w:b/>
        </w:rPr>
        <w:t xml:space="preserve">Quelle: </w:t>
      </w:r>
      <w:r>
        <w:t>https://mcp.opencaselaw.ch/entscheid/ge_gerichte_ATAS_1010_2016</w:t>
      </w:r>
    </w:p>
    <w:p>
      <w:r>
        <w:t>FR: GE_GERICHTE ATAS/1010/2016 du 6 décembre 2016</w:t>
      </w:r>
    </w:p>
    <w:p>
      <w:r>
        <w:t>IT: GE_GERICHTE ATAS/1010/2016 del 6 dicembre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16 juin 2016 contre une décision reçue le 17 mai 2016, le présent recours a été interjeté en temps utile (art. 60 LPGA). Il satisfait aux exigences de forme et de contenu prescrites par l’art. 61 let. b LPGA (cf. aussi art. 89B LPA). Touché par ladite décision et ayant un intérêt digne de protection à son annulation ou sa modification, le recourant a qualité pour recourir contre cette décision (art.59 LPGA). c. Le présent recours sera donc déclaré recevable.</w:t>
      </w:r>
    </w:p>
    <w:p>
      <w:r>
        <w:rPr>
          <w:b/>
        </w:rPr>
        <w:t>E. 2</w:t>
      </w:r>
    </w:p>
    <w:p>
      <w:r>
        <w:t>La décision attaquée, définissant l’objet possible du recours formé à son encontre, nie le droit du recourant à toutes prestations de l’AI, en particulier à une rente (entière) d’invalidité. Le recourant n’avance aucun grief à l’encontre du refus que comporte la décision attaquée de lui octroyer, fût-ce subsidiairement, des mesures de réadaptation.</w:t>
      </w:r>
    </w:p>
    <w:p>
      <w:r>
        <w:rPr>
          <w:b/>
        </w:rPr>
        <w:t>E. 3</w:t>
      </w:r>
    </w:p>
    <w:p>
      <w:r>
        <w:t>a. Pour l’établissement des faits pertinents, il y a lieu d’appliquer les principes ordinaires régissant la procédure en matière d’assurances sociales, à savoir, en</w:t>
      </w:r>
    </w:p>
    <w:p>
      <w:r>
        <w:t>A/2018/2016 - 20/34 -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5d).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t>A/2018/2016 - 21/34 -</w:t>
      </w:r>
    </w:p>
    <w:p>
      <w:r>
        <w:rPr>
          <w:b/>
        </w:rPr>
        <w:t>E. 4</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dès lors que la demande de prestations de l’AI est intervenue le 27 février 2012 et que, de façon non contestée, le droit revendiqué à une rente d’invalidité ne peut avoir pris naissance au plus tôt avant l’échéance d’un délai de six mois à compter de cette date (art. 29 al. 1 LAI), il s’agit en l’espèce du droit actuellement en vigueur, résultant de la dernière révision de la LAI, dite 6a du 18 mars 2011, entrée en vigueur le 1er janvier 2012. Au demeurant, à l’instar d’ailleurs des révisions précédentes de la LAI – à savoir celles des 21 mars 2003 [4ème révision] et 6 octobre 2006 [5ème révision], entrées en vigueur respectivement les 1er janvier 2004 et 1er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A/2018/2016 - 22/34 -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d/aa.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w:t>
      </w:r>
    </w:p>
    <w:p>
      <w:r>
        <w:t>A/2018/2016 - 23/34 - (anamnèse), que la description des interférences médicales soit claire et enfin que les conclusions du médecin soient bien motivées (ATF 125 V 351 consid. 3). d/bb.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w:t>
      </w:r>
    </w:p>
    <w:p>
      <w:r>
        <w:t>A/2018/2016 - 24/34 - généralement enclin, en cas de doute, à prendre parti pour son patient en raison de la relation de confiance qui l’unit à ce dernier (ATF 125 V 351 consid. 3b/cc). d/cc.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w:t>
      </w:r>
    </w:p>
    <w:p>
      <w:r>
        <w:t>juin 2012 aux HUG. De son côté, reprenant à son compte l’avis du Dr AI______ fondé sur un ENMG, le Prof. AH______ a retenu, en janvier 2013, une (probable) neuropathie par étirement du nerf intercostal au niveau T9 et, dans une moindre mesure, au niveau T10. Cet avis a été repris par les médecins du Centre multidisciplinaire d’étude et de traitement de la douleur des HUG (cf. rapports des 5 et 6 juin 2012) et ceux du Centre d’antalgie du CHUV (cf. courrier du Dr AK______ du 26 mars 2013). d. S’agissant du volet psychiatrique – sous réserve de la question abordée plus loin de troubles somatoformes douloureux –, le rapport d’expertise du CEMed répond également aux réquisits jurisprudentiels permettant de lui reconnaître force probante, tant formellement que matériellement. d/aa. D’après ledit rapport d’expertise, il persistait un épisode dépressif d’intensité moyenne sans syndrome somatique, qui prenait une allure chronique et était</w:t>
      </w:r>
    </w:p>
    <w:p>
      <w:r>
        <w:t>A/2018/2016 - 27/34 - réactionnel aux douleurs chroniques ; il y avait ainsi une comorbidité psychiatrique sous la forme d’un épisode dépressif moyen chronique persistant depuis un an et demi et ne répondant pas au traitement de Cymbalta 120 mg/j, le seul antidépresseur à avoir été essayé et maintenu sans changement depuis plus d’un an, alors que les possibilités thérapeutiques n’étaient de loin pas épuisées. Le recourant n’était pas replié socialement, n’avait pas de traits pathologiques de caractère, ni ralentissement psychomoteur, ni troubles cognitifs patents, mais une pensée fixée sur les douleurs chroniques et leur répercussion désastreuse sur le quotidien ; il n’y avait pas de limitations fonctionnelles objectivables au niveau psychiatrique. d/bb. Les autres psychiatres s’étant prononcés dans ce dossier ne contredisent pas les conclusions de l’expert psychiatre, sauf la psychiatre traitante s’agissant des répercussions sur la capacité de travail, dans une mesure s’expliquant assez manifestement par sa qualité de médecin traitant, lié à son patient par un lien de confiance. Le diagnostic posé par le Dr AC______, en juin 2012, était celui d’épisode dépressif moyen, dont la symptomatologie était réactionnelle aux douleurs post-opératoires. La Dre AR______ n’a pas posé un autre diagnostic dans son rapport médical du 11 mai 2015, qui confirme et souligne que le recourant est captif, psychiquement, d’un fort sentiment d’injustice et d’un intense besoin de reconnaissance et de réparation à l’endroit du corps médical (cf. aussi son rapport du 22 février 2016). . e. À ce stade – et sous la réserve déjà annoncée de la question de troubles somatoformes douloureux –, la chambre de céans estime qu’il n’y a pas matière à ordonner une expertise judiciaire, compte tenu de la force probante du rapport d’expertise du CEMed, et que l’appréciation desdits experts doit être suivie. Sur le plan somatique, dont la frange est difficile à distinguer du volet psychiatrique, les limitations résultant des douleurs que ressent le recourant n’apparaissent effectivement pas compatibles avec l’exercice d’une activité professionnelle physiquement lourde, nécessitant le port régulier de charges de plus de 10 à 15 kg et impliquant d’être le plus souvent debout et en mouvement. Par ailleurs, pris pour lui-même, l’épisode dépressif moyen chronique du recourant n’engendre pas de limitations spécifiques à l’exercice d’une activité professionnelle. Les avis contraires émis par les deux médecins traitants du recourant sur la capacité de travail de ce dernier, respectivement les 18 et 22 février 2016, n’emportent pas conviction. Aussi les conclusions que l’intimé a tiré dudit rapport d’expertise, et plus généralement du dossier, de reconnaître au recourant une pleine capacité de travail dans une activité adaptée pourrait-elle être partagée et le recours être rejeté, étant précisé qu’il n’y a pas de critique à émettre (ni d’ailleurs de critique émise par le recourant) quant au fait qu’une telle activité adaptée peut et doit en l’espèce être déterminée par référence au tableau TA1, tous secteurs confondus, de niveau 4 (activités simples et répétitives) de l’ESS 2012, sans préjudice de l’abattement de</w:t>
      </w:r>
    </w:p>
    <w:p>
      <w:r>
        <w:rPr>
          <w:b/>
        </w:rPr>
        <w:t>E. 10</w:t>
      </w:r>
    </w:p>
    <w:p>
      <w:r>
        <w:t>% retenu par l’intimé, et qu’au surplus, après correction des erreurs de calcul –</w:t>
      </w:r>
    </w:p>
    <w:p>
      <w:r>
        <w:t>A/2018/2016 - 28/34 - admises par l’intimé – affectant les comparaisons des revenus avec et sans invalidité figurant dans la décision attaquée, le degré d’invalidité finalement pertinent (dès septembre 2012, compte tenu de la date de dépôt de la demande de prestations de l’AI et du délai de carence de six mois prévu par l’art. 29 al. 1 LAI) serait de 16 %, ce qui n’ouvrirait un droit ni à une rente d’invalidité ni à des mesures d’ordre professionnel. 7. a. Il reste toutefois à examiner le grief du recourant dont l’intimé n’a pas tenu compte, alors qu’il le faudrait, d’un trouble somatoforme douloureux pleinement incapacitant. Préalablement, il sied d’exposer le cadre juridique de cette pathologie. b. Il a déjà été relevé (cf. consid. 5), à propos de la notion d’invalidité, qu’une atteinte à la santé n’est prise en considération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Dans un arrêt de principe du 12 mars 2004 (ATF 130 V 352),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w:t>
      </w:r>
    </w:p>
    <w:p>
      <w:r>
        <w:t>A/2018/2016 - 29/34 - fournies par l’assuré et celles ressortant de l’anamnèse, le fait que des plaintes très démonstratives laissaient l’expert insensible, et l’allégation d’un lourd handicap malgré un environnement psychosocial intact (ATF 132 V 65 ; 131 V 49 ; 130 V 352 ; Michel VALTERIO, op. cit., n. 1199 ss ; Jacques-André SCHNEIDER, L’invalidité, les douleurs dites « non objectivables » et le Tribunal fédéral : la rupture, in Regards de marathoniens sur le droit suisse, 2015, p. 409 ss). c. Or, selon un nouvel arrêt de principe rendu par le Tribunal fédéral le 3 juin 2015 (ATF 141 V 281),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w:t>
      </w:r>
    </w:p>
    <w:p>
      <w:r>
        <w:t>A/2018/2016 - 30/34 -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d. La nouvelle jurisprudence sur les troubles somatoformes et affections psychosomatiques assimilées est le cas échéant applicable au cas d’espèce, dès lors que la décision de l’intimé n’a pas acquis force de chose décidée (ATAS/364/2016 du 10 mai 2016 consid. 10c). 8. a. En l’espèce, la notion de douleur imprègne le dossier. En effet, dès les lendemains de la lobectomie associée à une cholécystectomie du 29 juillet 2011 aux HUG, le recourant s’est plaint de douleurs, au point que diverses investigations ont été entreprises, en particulier une échographie le 17 août 2011, un scanner abdominal le 1er septembre 2011, une hospitalisation dans le service de chirurgie viscérale des HUG du 7 au 10 septembre 2011, un examen radiologique le</w:t>
      </w:r>
    </w:p>
    <w:p>
      <w:r>
        <w:rPr>
          <w:b/>
        </w:rPr>
        <w:t>E. 12</w:t>
      </w:r>
    </w:p>
    <w:p>
      <w:r>
        <w:t>octobre 2011, un transit oeso-gastroduodénal en double contraste le</w:t>
      </w:r>
    </w:p>
    <w:p>
      <w:r>
        <w:rPr>
          <w:b/>
        </w:rPr>
        <w:t>E. 14</w:t>
      </w:r>
    </w:p>
    <w:p>
      <w:r>
        <w:t>novembre 2011, puis d’autres examens en 2012. De nombreux médecins ont été consultés, dont des chirurgiens puis/et des psychiatres, des équipes pluridisciplinaires, aux HUG, au Centre multidisciplinaire d’étude et de traitement de la douleur des HUG, à l’Hôpital du Valais, au Centre d’antalgie du CHUV, avant qu’une expertise de médecine interne, neurologie et psychiatrie ne soit ordonnée par l’intimé. Le recourant a continué à se plaindre de douleurs auprès des experts du CEMed, en 2014, auprès des psychiatres l’ayant suivi en unité psychiatrique des HUG, en 2015, et encore et toujours auprès de ses médecins traitants, encore en 2016. Si, au début, déjà sans pouvoir les objectiver véritablement, les médecins ont attribué lesdites douleurs « probablement » à la chirurgie et à l’hypertrophie cicatricielle (cf. lettre de sortie des HUG du 4 octobre 2011), ils sont devenus par la suite perplexes devant la difficulté « d’identifier une cause à l’ensemble des manifestations présentées » par le recourant, au point d’envisager, à titre d’hypothèse, une atteinte vagale (courrier du 13 janvier 2012 du Dr U______), qui sera exclue ultérieurement (lettre de sortie des HUG du 8 juin 2012) mais qui n’en aura pas moins conforté le recourant dans sa conviction d’être victime d’une erreur médicale. Ses douleurs post-opératoires ont alors été qualifiées comme étant « d’origine peu claire et probablement mixte », physique et psychique, la persistance d’un petit hématome visualisé à l’IRM ne pouvant les expliquer (lettre de sortie des HUG du 8 juin 2012). Elles ont ensuite trouvé une explication partielle la plus vraisemblable dans une neuropathie intercostale T9 droite péri-opératoire sur probable étirement du nerf intercostal T9 et dans une moindre mesure au niveau T10 (rapports des 22 et 23 janvier 2013 respectivement des Drs AH______ et AI______, courrier du 26 mars 2013 du Dr AK______), cause qui a été reprise par</w:t>
      </w:r>
    </w:p>
    <w:p>
      <w:r>
        <w:t>A/2018/2016 - 31/34 - les experts du CEMed, non sans qu’apparaisse et ne soit retenu que lesdites douleurs ont persisté et se sont accrues au fur et à mesure que le recourant a acquis la conviction d’avoir été victime d’une erreur médicale, ayant engendré en lui un fort sentiment d’injustice et un intense besoin de reconnaissance et de réparation et ayant provoqué une symptomatologie dépressive (comme l’ont relevé notamment les médecins ayant participé au colloque multidisciplinaire du 6 juin 2012, les experts du CEMed dans leur rapport du 12 août 2014, les psychiatres ayant suivi le recourant lors de son hospitalisation de janvier 2015). Il sied de souligner qu’aucun des médecins consultés n’a prétendu ni même laissé entendre que les douleurs considérées seraient feintes par le recourant. b. Le Dr D______ a été le premier à évoquer un syndrome douloureux chronique (lettre du 3 août 2012 au Centre d’antalgie du CHUV). De son côté, l’intimé a libellé son mandat d’expertise au CEMed en envisageant l’hypothèse qu’il y ait un « trouble de la lignée somatoforme ou un trouble assimilé », en prévoyant, sous la question 6, une série de sous-questions spécifiques à cette hypothèse, destinées à établir, au regard des critères jurisprudentiels alors suivis, si la présomption que le recourant pouvait surmonter le handicap lié à ses douleurs par un effort de volonté exigible était, exceptionnellement, renversée. Il sied de rappeler que le diagnostic de syndrome douloureux somatoforme persistant présuppose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(Classification internationale des maladies et des problèmes de santé connexes éditée par l’Organisation mondiale de la santé, 10ème révision [CIM-10], ad F45.50 ; arrêt du Tribunal fédéral 9C_533/2016 du 27 octobre 2016 consid. 4.2 ; ATF 141 V 281 consid. 2.1.1 p. 285). Dans le contexte susdécrit, il apparaît frappant et insatisfaisant que les experts n’ont pas discuté le point de savoir si le diagnostic de trouble somatoforme douloureux devait être posé ou non, ni a fortiori ne se sont pas prononcés explicitement à ce propos. Contrairement à ce que l’intimé soutient dans sa duplique, on ne saurait cependant considérer que les experts n’ont pas retenu un tel trouble, dans la mesure où ils ont répondu à cinq des six sous-questions posées sous la question 6, ce qui suppose normalement qu’une réponse affirmative soit apportée à la question liminaire de l’existence d’un trouble de la lignée somatoforme ou d’un trouble assimilé. Certes, au titre des diagnostics, ils n’ont pas fait état d’un tel trouble, mais ont mentionné un épisode dépressif d’intensité moyenne chronique (F32.10). Or, selon la jurisprudence fondée sur la doctrine médicale, les états dépressifs (en particulier un épisode dépressif moyen) constituent des manifestations réactives d’accompagnement des troubles somatoformes douloureux, dont ils ne sauraient faire l’objet d’un diagnostic distinct (Michel VALTERIO, op. cit. n. 1205, notes de bas de page 1457 et 1458 faisant référence respectivement à l’ATF 130 V 352</w:t>
      </w:r>
    </w:p>
    <w:p>
      <w:r>
        <w:t>A/2018/2016 - 32/34 - consid. 3.3.1 in fine p. 356 et aux arrêts I 590/05 du 27 février 2007 consid. 3.2 et 8C_930/2008 du 24 avril 2009). La chambre de céans retient à ce stade que le rapport d’expertise du CEMed est lacunaire sur la question du diagnostic d’un trouble somatoforme douloureux. c. Cette faille ne saurait être colmatée par la considération que les experts d’une part ont qualifié de non invalidant l’épisode dépressif d’intensité moyenne chronique du recourant (en le citant sous la rubrique des « maladies sans répercussion sur la capacité de travail »), et d’autre part, dans trois de leurs réponses aux sous-questions considérées, ont fourni des éléments de réponse allant dans le sens de la négation d’un caractère invalidant d’un (éventuel ?) trouble somatoforme douloureux (en particulier l’absence de perte d’intégration sociale dans toutes les manifestations de la vie, l’échec d’un traitement antidépresseur maintenu sans changement durant plus d’un an alors que les possibilités thérapeutiques n’étaient de loin pas épuisées, et – à vrai dire étonnamment au vu du dossier – l’absence d’état psychique cristallisé). Il faut en effet relever, à l’inverse, que les experts ont relevé une comorbidité psychiatrique (précisément un épisode dépressif moyen chronique persistant depuis alors un an et demi), une chronicisation dudit épisode dépressif moyen, sa résistance durable du moins à un traitement antidépresseur et l’absence d’exagération des symptômes ou d’une constellation semblable, à savoir des éléments tendant à plaider, à l’époque, en faveur d’un renversement de la présomption du caractère surmontable du trouble par un effort de volonté. Par ailleurs et surtout, il appert que les experts, en 2014, se sont prononcés au regard d’une présomption et de critères qui n’ont aujourd’hui plus cours, et qu’il en va en réalité de même de l’intimé, même s’il a rendu la décision attaquée (et antérieurement son projet de décision) en 2016, donc après le changement de jurisprudence relative aux troubles somatoformes douloureux et pathologies assimilées. Or, en plus qu’il n’indique pas clairement si le diagnostic de trouble somatoforme douloureux est posé (ainsi que des éléments du dossier tendent à laisser penser que tel devrait être le cas) ou écarté (ce qui devrait résulter d’une discussion convaincante), le rapport d’expertise ne contient pas – et, plus généralement, le dossier non plus – suffisamment d’éléments permettant d’analyser l’exigibilité d’une réintégration dans le processus de travail au regard des indicateurs énoncés par le Tribunal fédéral dans sa nouvelle jurisprudence. Il sied ici de souligner que la comorbidité psychiatrique ne joue plus un rôle prépondérant, qu’il est nécessaire de procéder à une approche globale de l’influence du trouble somatoforme douloureux avec l’ensemble des pathologies concomitantes, qu’un trouble dépressif réactionnel au trouble somatoforme peut constituer un facteur d’affaiblissement des ressources de l’assuré, qu’il faut recenser et évaluer les ressources mobilisables de l’assuré.</w:t>
      </w:r>
    </w:p>
    <w:p>
      <w:r>
        <w:t>A/2018/2016 - 33/34 - d. Aussi la chambre de céans retient-elle qu’une expertise psychiatrique doit être effectuée pour déterminer si le recourant souffre d’un trouble somatoforme douloureux et si ce dernier est ou non incapacitant, dans l’affirmative dans quelle mesure. Un renvoi de la cause à l’autorité décisionnaire pour un complément d’instruction est possible, voire nécessaire, lorsqu’il s’agit de préciser un point d’une expertise administrative ou de demander un complément à des experts,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Un renvoi de la cause suppose l’annulation de la décision attaquée. 9. a. Le recours sera donc partiellement admis, la décision attaquée annulée et la cause renvoyée à l’intimé pour instruction complémentaire au sens des considérants puis nouvelle décision. b.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300.- (art. 69 al. 1bis phr. 2 in fine LAI). c.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w:t>
      </w:r>
    </w:p>
    <w:p>
      <w:r>
        <w:t>* * * * * *</w:t>
      </w:r>
    </w:p>
    <w:p>
      <w:r>
        <w:t>A/2018/2016 - 34/34 - PAR CES MOTIFS, LA CHAMBRE DES ASSURANCES SOCIALES : Statuant À la forme : 1. Déclare le recours recevable. Au fond : 2. L’admet partiellement. 3. Annule la décision de l’office de l’assurance-invalidité du canton de Genève du 12 mai 2016. 4. Renvoie la cause à l’office de l’assurance-invalidité du canton de Genève pour instruction complémentaire au sens des considérants puis nouvelle décision. 5. Met un émolument de CHF 300.- à la charge de l’office de l’assurance-invalidité du canton de Genève. 6. Alloue à Monsieur A______ une indemnité de procédure de CHF 2'000.-, à la charge de l’office de l’assurance-invalidité du canton de Genève.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