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ATAS/100/2022 vom 11. Februar 2022</w:t>
      </w:r>
    </w:p>
    <w:p>
      <w:r>
        <w:t>GE Cour de justice, 2022-02-11, FR</w:t>
      </w:r>
    </w:p>
    <w:p>
      <w:r>
        <w:rPr>
          <w:b/>
        </w:rPr>
        <w:t xml:space="preserve">Quelle: </w:t>
      </w:r>
      <w:r>
        <w:t>https://mcp.opencaselaw.ch/entscheid/ge_gerichte_ATAS_100_2022</w:t>
      </w:r>
    </w:p>
    <w:p>
      <w:r>
        <w:t>FR: GE_GERICHTE ATAS/100/2022 du 11 février 2022</w:t>
      </w:r>
    </w:p>
    <w:p>
      <w:r>
        <w:t>IT: GE_GERICHTE ATAS/100/2022 del 11 febbraio 2022</w:t>
      </w:r>
    </w:p>
    <w:p>
      <w:pPr>
        <w:pStyle w:val="Heading2"/>
      </w:pPr>
      <w:r>
        <w:t>Erwägungen</w:t>
      </w:r>
    </w:p>
    <w:p>
      <w:r>
        <w:rPr>
          <w:b/>
        </w:rPr>
        <w:t>E. 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l’office cantonal de l’assurance-invalidité ne se révèlent pas probantes (ATF 137 V 210 consid. 4.4.1.3). Cela étant, un renvoi à l'administration pour mise en œuvre d'une nouvelle expertise reste possible, même sous l'empire de la nouvelle jurisprudence,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2</w:t>
      </w:r>
    </w:p>
    <w:p>
      <w:r>
        <w:t>En l'occurrence, le recourant souffre depuis son accident survenu en novembre 2019 d'un syndrome vertébral lombaire l'empêchant d'exercer son métier de plaquiste. L'IRM lombaire réalisée le 29 mars 2021 montre un petit rétrolisthésis sur L4-L5 et un débord discal prédominant en postérieur en L4-L5 avec petite hernie focale à droite, venant au contact avec l'émergence L5 droite. Le lien de causalité a été nié par l'intimée. Toutefois, aucune expertise médicale n'a été réalisée. Dès lors que le recourant n'avait pas encore 39 ans au moment de l'accident et n'avait pas présenté de symptômes douloureux à la colonne vertébrale auparavant, ainsi qu'en raison de la violence du choc (percussion par une voiture à une vitesse entre 80 et 90 km/h), la chambre de céans a cependant un doute quant à l'absence du lien de causalité. Par conséquent, il s'avère nécessaire d'élucider cette question par une expertise médicale judiciaire.</w:t>
      </w:r>
    </w:p>
    <w:p>
      <w:r>
        <w:rPr>
          <w:b/>
        </w:rPr>
        <w:t>E. 3</w:t>
      </w:r>
    </w:p>
    <w:p>
      <w:r>
        <w:t>Status et constatations objectives.</w:t>
      </w:r>
    </w:p>
    <w:p>
      <w:r>
        <w:rPr>
          <w:b/>
        </w:rPr>
        <w:t>E. 4</w:t>
      </w:r>
    </w:p>
    <w:p>
      <w:r>
        <w:t>Diagnostics.</w:t>
      </w:r>
    </w:p>
    <w:p>
      <w:r>
        <w:rPr>
          <w:b/>
        </w:rPr>
        <w:t>E. 5</w:t>
      </w:r>
    </w:p>
    <w:p>
      <w:r>
        <w:t>Les atteintes constatées sont-elles dans un rapport de causalité avec l’accident ? Plus précisément, ce lien de causalité est-il seulement possible (probabilité de moins de 50 %), probable (probabilité de plus de 50%) ou certain (probabilité de 100 %) ? L’hernie discale diagnostiquée a-t-elle en particulier été provoquée par l'accident au degré de la vraisemblance prépondérante et, plus généralement, dans quel laps de temps une hernie discale peut-elle se développer dans les suites d'un accident ?</w:t>
      </w:r>
    </w:p>
    <w:p>
      <w:r>
        <w:rPr>
          <w:b/>
        </w:rPr>
        <w:t>E. 6</w:t>
      </w:r>
    </w:p>
    <w:p>
      <w:r>
        <w:t>En l'occurrence, l'accident était-il propre à provoquer une hernie discale ?</w:t>
      </w:r>
    </w:p>
    <w:p>
      <w:r>
        <w:rPr>
          <w:b/>
        </w:rPr>
        <w:t>E. 7</w:t>
      </w:r>
    </w:p>
    <w:p>
      <w:r>
        <w:t>La guérison des atteintes persistantes et en rapport avec l'accident a-t-elle été retardée en raison d'une physiothérapie commencée seulement quatre mois après cet évènement, en raison du confinement dû à la COVID-19?</w:t>
      </w:r>
    </w:p>
    <w:p>
      <w:r>
        <w:rPr>
          <w:b/>
        </w:rPr>
        <w:t>E. 8</w:t>
      </w:r>
    </w:p>
    <w:p>
      <w:r>
        <w:t>À partir de quel moment le statu quo ante a-t-il été atteint (moment où l’état de santé de la personne expertisée est similaire à celui qui existait immédiatement avant l’accident) ? Si l’accident a décompensé un état maladif préexistant, à partir de quel moment le statu quo sine a-t-il été atteint (moment où l’état de santé de la personne expertisée est similaire à celui qui serait survenu tôt ou tard, même sans l’accident par suite d’un développement ordinaire) ?</w:t>
      </w:r>
    </w:p>
    <w:p>
      <w:r>
        <w:rPr>
          <w:b/>
        </w:rPr>
        <w:t>E. 9</w:t>
      </w:r>
    </w:p>
    <w:p>
      <w:r>
        <w:t>Quelles sont les limitations fonctionnelles concernant les diagnostics en rapport de causalité avec l'accident ?</w:t>
      </w:r>
    </w:p>
    <w:p>
      <w:r>
        <w:t>A/3961/2020 - 8/8 -</w:t>
      </w:r>
    </w:p>
    <w:p>
      <w:r>
        <w:rPr>
          <w:b/>
        </w:rPr>
        <w:t>E. 10</w:t>
      </w:r>
    </w:p>
    <w:p>
      <w:r>
        <w:t>Quelle est la capacité de travail de la personne expertisée dans son activité habituelle, compte tenu des seules atteintes en rapport de causalité (au moins probable - probabilité de plus de 50 %) avec l’accident et comment cette capacité de travail a-t-elle évolué depuis l’accident ?</w:t>
      </w:r>
    </w:p>
    <w:p>
      <w:r>
        <w:rPr>
          <w:b/>
        </w:rPr>
        <w:t>E. 11</w:t>
      </w:r>
    </w:p>
    <w:p>
      <w:r>
        <w:t>Quelle est la capacité de travail de la personne expertisée dans une activité adaptée, compte tenu des seules atteintes en rapport de causalité (au moins probable - probabilité de plus de 50 %) avec l’accident ?</w:t>
      </w:r>
    </w:p>
    <w:p>
      <w:r>
        <w:rPr>
          <w:b/>
        </w:rPr>
        <w:t>E. 12</w:t>
      </w:r>
    </w:p>
    <w:p>
      <w:r>
        <w:t>Propositions thérapeutiques et analyse de leurs effets sur la capacité de travail de la personne expertisée concernant les diagnostics en rapport de causalité avec l'accident.</w:t>
      </w:r>
    </w:p>
    <w:p>
      <w:r>
        <w:rPr>
          <w:b/>
        </w:rPr>
        <w:t>E. 13</w:t>
      </w:r>
    </w:p>
    <w:p>
      <w:r>
        <w:t>Peut-on attendre de la poursuite du traitement médical une notable amélioration de l’état de santé de la personne expertisée ?</w:t>
      </w:r>
    </w:p>
    <w:p>
      <w:r>
        <w:rPr>
          <w:b/>
        </w:rPr>
        <w:t>E. 14</w:t>
      </w:r>
    </w:p>
    <w:p>
      <w:r>
        <w:t>Si non, à partir de quel moment ne peut-on plus attendre de la continuation du traitement médical une notable amélioration de l’état de santé de la personne expertisée (état final atteint) ?</w:t>
      </w:r>
    </w:p>
    <w:p>
      <w:r>
        <w:rPr>
          <w:b/>
        </w:rPr>
        <w:t>E. 15</w:t>
      </w:r>
    </w:p>
    <w:p>
      <w:r>
        <w:t>La personne expertisée présente-t-elle, le cas échéant, une atteinte à l’intégrité définitive, en lien avec les atteintes en rapport de causalité au moins probable (probabilité de plus de 50 %) avec l’accident ? Si oui, quel est le taux applicable selon les tables de la SUVA ? 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50 %) avec l’accident doivent être incluses dans le calcul du taux de l’indemnité.</w:t>
      </w:r>
    </w:p>
    <w:p>
      <w:r>
        <w:rPr>
          <w:b/>
        </w:rPr>
        <w:t>E. 16</w:t>
      </w:r>
    </w:p>
    <w:p>
      <w:r>
        <w:t>Quel est le pronostic ? IV. Invite l’expert à déposer, dans un délai de trois mois, son rapport en trois exemplaires auprès de la chambre de céans. V. Réserve le fond.</w:t>
      </w:r>
    </w:p>
    <w:p>
      <w:r>
        <w:t>La greffière</w:t>
      </w:r>
    </w:p>
    <w:p>
      <w:r>
        <w:t>Marguerite MFEGUE AYMON</w:t>
      </w:r>
    </w:p>
    <w:p>
      <w:r>
        <w:t>La présidente suppléante</w:t>
      </w:r>
    </w:p>
    <w:p>
      <w:r>
        <w:t>Maya CRAMER</w:t>
      </w:r>
    </w:p>
    <w:p>
      <w:r>
        <w:t>Une copie conforme de la présente ordonnance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