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ATAS/100/2020 vom 11. Februar 2020</w:t>
      </w:r>
    </w:p>
    <w:p>
      <w:r>
        <w:t>GE Cour de justice, 2020-02-11, FR</w:t>
      </w:r>
    </w:p>
    <w:p>
      <w:r>
        <w:rPr>
          <w:b/>
        </w:rPr>
        <w:t xml:space="preserve">Quelle: </w:t>
      </w:r>
      <w:r>
        <w:t>https://mcp.opencaselaw.ch/entscheid/ge_gerichte_ATAS_100_2020</w:t>
      </w:r>
    </w:p>
    <w:p>
      <w:r>
        <w:t>FR: GE_GERICHTE ATAS/100/2020 du 11 février 2020</w:t>
      </w:r>
    </w:p>
    <w:p>
      <w:r>
        <w:t>IT: GE_GERICHTE ATAS/100/2020 del 11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la modification de la LAA du 25 septembre 2015 est entrée en vigueur. Dans la mesure où l’accident considéré est survenu après le 1er janvier 2017,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t>A/608/2019 - 8/18 -</w:t>
      </w:r>
    </w:p>
    <w:p>
      <w:r>
        <w:rPr>
          <w:b/>
        </w:rPr>
        <w:t>E. 4</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5</w:t>
      </w:r>
    </w:p>
    <w:p>
      <w:r>
        <w:t>Le litige porte sur le point de savoir si les suites des atteintes que le recourant a subies au genou gauche (en particulier l’intervention chirurgicale du 27 février 2018), ainsi que l’incapacité de travail du 27 février 2018 au 19 mars 2018, doivent être prises en charge par l’intimée au-delà du 26 août 2017, singulièrement si la déchirure méniscale du genou gauche dont a souffert le recourant est attribuable de manière prépondérante à un état dégénératif.</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w:t>
      </w:r>
    </w:p>
    <w:p>
      <w:r>
        <w:t>A/608/2019 - 9/18 -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7</w:t>
      </w:r>
    </w:p>
    <w:p>
      <w:r>
        <w:t>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p. 4893).</w:t>
      </w:r>
    </w:p>
    <w:p>
      <w:r>
        <w:rPr>
          <w:b/>
        </w:rPr>
        <w:t>E. 8</w:t>
      </w:r>
    </w:p>
    <w:p>
      <w:r>
        <w:t>a. La doctrine relève que selon la lettre de la nouvelle disposition, ce n'est pas uniquement l’exigence d’un facteur extérieur qui disparaît, mais également celle liée à l’existence des autres éléments constitutifs de l’accident. Il y aurait ainsi obligation de prester de l’assureur-accident chaque fois qu’une lésion figurant dans la liste de l’art. 6 al. 2 LAA est diagnostiquée, et ce même si l’assuré ne cite aucun événement auquel la lésion pourrait être imputée ou à la suite duquel elle serait</w:t>
      </w:r>
    </w:p>
    <w:p>
      <w:r>
        <w:t>A/608/2019 - 10/18 - apparue. Savoir s’il s’agit vraiment là de l’intention du législateur est peu clair. Une telle solution apparaîtrait certainement en contradiction avec la possibilité de l’assureur de se libérer de prester. La présomption légale de droit aux prestations en cas de diagnostic figurant dans la liste ne peut en effet être renversée par l’assureur-accidents que s’il démontre au degré de la vraisemblance prépondérante que l’atteinte corporelle « n’est pas due » (ndr. recte : est due) de manière prépondérante à l’usure ou à une maladie. Si la survenance d’un événement en tant que condition du droit aux prestations n’est plus exigée, il y a lieu de se demander en comparaison de quelle autre cause l’atteinte doit être imputée de manière prépondérante à l’usure ou à une maladie. En d’autres termes, si aucune autre cause de la lésion n’est avancée, l’usure ou la maladie apparaîtront prépondérantes dans la plupart des cas. Cette question devra être clarifiée par la jurisprudence (Markus HÜSLER, Erste UVG-Revision : wichtigste Änderungen und mögliche Probleme bei der Umsetzung, RSAS 2017 p. 32-33) b/aa. Dans un arrêt 8C_22/2019 du 24 septembre 2019, destiné à la publication, le Tribunal fédéral a précisé qu’il résulte de l’interprétation de l’art. 6 al. 2 LAA que l’application de cette disposition ne présuppose aucun facteur extérieur et donc aucun événement accidentel ou générant un risque de lésion accru au sens de la jurisprudence relative à l’art. 9 al. 2 aOLAA. Dans ce contexte, l’existence même d’une lésion corporelle visée à l’art. 6 al. 2 let. a-h LAA conduit désormais à la présomption qu’il s’agit d’une lésion corporelle assimilée à un accident qui doit être prise en charge par l’assureur-accidents. Cependant, il découle de la possibilité aménagée par l’art. 6 al. 2 LAA de rapporter la contre-preuve (« pour autant [que les lésions mentionnées aux let. a-h] ne soient pas dues de manière prépondérante à l’usure ou à une maladie ») qu’il reste nécessaire de distinguer la lésion corporelle assimilée à un accident, qui est à la charge de l’assureur-accidents, d’une lésion due à l’usure et à la maladie, qui est du ressort de l’assureur-maladie. À cet égard, la question d’un événement initial reconnaissable et identifiable demeure pertinente même après la révision de la LAA – notamment en raison de l’importance d’un lien temporel (couverture d’assurance ; compétence de l’assureur-accidents ; calcul du gain assuré ; questions juridiques intertemporelles), mais cela ne change rien au fait qu’en présence d’une lésion figurant dans la liste de l’art. 6 al. 2 LAA, l’assureur-accidents est en principe tenu de prester, à moins de prouver que celle-ci est due de manière prépondérante à l’usure ou à une maladie. Par conséquent, dans le cadre de son devoir d’instruction (cf. art. 43 al. 1 LPGA), l’assureur-accidents doit clarifier les circonstances exactes du sinistre à l’annonce d’une lésion relevant de ladite liste. Si aucun événement initial ne peut être établi, ou seulement un événement tout à fait bénin ou anodin, cela simplifie de toute évidence la preuve libératoire de l’assureur-accidents. C’est en premier lieu aux médecins spécialisés qu’il incombe de procéder à la délimitation litigieuse en prenant en compte l’ensemble du spectre des causes à l’origine de la lésion corporelle en cause. Il convient ainsi de faire la lumière non seulement sur l’état antérieur, mais aussi sur les circonstances dans lesquelles les plaintes sont apparues pour la première fois</w:t>
      </w:r>
    </w:p>
    <w:p>
      <w:r>
        <w:t>A/608/2019 - 11/18 - (par exemple, un bilan traumatologique du genou [« Knietrauma-check »] constitue une aide utile pour l’évaluation médicale des blessures au genou ; cf. BMS 2016 p. 1742 ss). Les différents indices qui parlent en faveur ou en défaveur de l’usure ou de la maladie doivent être pondérés d’un point de vue médical. L’assureur-accidents doit prouver, au degré de la vraisemblance prépondérante, sur la base d’évaluations médicales concluantes, que la lésion en question est due de manière prépondérante à l’usure ou à la maladie, c’est-à-dire plus de 50 % de tous les facteurs en cause (cf. ATAS/747/2019 du 22 août 2019 consid. 17d). Si le spectre des causes se compose uniquement d’éléments indiquant une usure ou une maladie, il s’ensuit inévitablement que l’assureur-accidents a apporté la preuve libératoire et qu’il n’est pas nécessaire d’apporter des clarifications supplémentaires (arrêt du Tribunal fédéral 8C_22/2019 du 24 septembre 2019 consid. 8.6). Il s’ensuit qu’à réception de l’annonce d’une lésion relevant de la liste de l’art. 6 al. 2 LAA, il incombe à l’assureur-accidents d’en établir les circonstances exactes. Lorsqu’une telle lésion est due à un accident au sens de l’art. 4 LPGA, l’assureur-accidents est tenu d’octroyer ses prestations jusqu’à ce que l’accident ne représente plus la cause naturelle et adéquate, c’est-à-dire lorsque l’atteinte à la santé repose uniquement sur des causes étrangères à l’accident. Lorsqu’en revanche, l’ensemble des critères de la notion d’accident (art. 4 LPGA) ne sont pas réalisés, l’assureur-accidents doit en principe fournir ses prestations pour la lésion tombant sous l’art. 6 al. 2 LAA – dans sa version en vigueur depuis le 1er janvier 2017 –, à moins de prouver que la lésion est due de manière prépondérante à l’usure ou à une maladie (même arrêt, consid. 9.1). b/bb. Dans l’arrêt 8C_22/2019 précité, qui concernait un employé âgé de 62-63 ans, dont le genou droit avait heurté une plateforme de levage, l’assureur-accidents avait reconnu la survenance d’un accident au sens de l’art. 4 LPGA et pris en charge les prestations de soins consécutives à cet événement jusqu’à la disparition des troubles (et la fin provisoire du traitement) environ un mois plus tard. Suite à l’apparition de nouvelles douleurs au genou droit environ six mois après la fin (provisoire) du traitement, l’assureur-accidents avait refusé de nouvelles prestations, motif pris que son médecin d’arrondissement avait estimé qu’une contusion guérissait dans un intervalle de six à douze semaines et qu’ainsi, la persistance des plaintes au-delà de ce laps de temps n’était pas due, au degré de la vraisemblance prépondérante, à l’accident considéré. En l’espèce, le Tribunal fédéral a estimé que l’accident avait causé uniquement une contusion du genou, à l’origine d’une aggravation passagère d’un état dégénératif préexistant. En d’autres termes, l’assureur-accidents avait rapporté la preuve que l’accident ne constituait pas la cause – ne serait-ce que partielle – de la déchirure méniscale qui avait été objectivée sept jours après l’accident au moyen d’une IRM. Par ce biais, l’assureur avait également rapporté la preuve que cette lésion, qui était comprise dans la liste de l’art. 6 al. 2 LAA, était due de manière prépondérante, c’est-à-dire à plus de 50 %, à l’usure ou à une maladie, dans la mesure où rien n’indiquait qu’il y avait eu, après l’accident, un autre événement initial qui aurait pu entrer en considération pour expliquer la lésion</w:t>
      </w:r>
    </w:p>
    <w:p>
      <w:r>
        <w:t>A/608/2019 - 12/18 - (consid. 9.2). En résumé, la déchirure du ménisque litigieuse n’était pas due à l’accident. Et en l’absence d’indice en faveur d’un événement initial postérieur à cet accident, il n’était pas nécessaire d’examiner le cas à la lumière de la liste de l’art. 6 al. 2 LAA, dans sa teneur en vigueur au 1er janvier 2017 (consid. 10). b/cc. Dans un arrêt 8C_267/2019 du 30 octobre 2019, qui concernait des douleurs au genou survenues en novembre 2017 au cours de la pratique d’un sport par une assurée (saut effectué pour attraper un ballon et douleurs au genou gauche apparues après la perception d’un craquement lors de la réception sur la jambe gauche), à propos desquelles le médecin d’arrondissement – et à sa suite l’assureur – avait estimé qu’elles ne découlaient pas d’un accident et n’engageaient pas la responsabilité de l’assureur-accidents sur la base de l’art. 6 al. 2 let. c LAA, en raison d’un état dégénératif qui s’était développé suite au traitement d’un accident survenu en 2013 (faiblesse de la plastie du ligament croisé antérieur et résection partielle du ménisque pratiquée après ce premier événement), le Tribunal fédéral n’en pas moins considéré que l’événement survenu en novembre 2017, envisagé en tant que cause potentielle de l’atteinte à la santé, n’était pas tout à fait bénin et que même si le médecin d’arrondissement tirait argument de l’état dégénératif précité, il s’était toutefois abstenu de se prononcer sur un rapport du médecin traitant de l’assurée, dans lequel ce praticien faisait part de son incompréhension au sujet du caractère dégénératif retenu et soulignait que sa patiente n’avait connu aucun trouble avant l’événement de novembre 2017, de sorte que les lésions méniscales en cause étaient certainement dues à un accident et nécessitaient un réexamen du cas. Selon le Tribunal fédéral, il n’était pas possible de se fonder sur le seul rapport du médecin traitant de l’assurée, d’autant que celui-ci reposait sur un raisonnement « post hoc ergo propter hoc ». Indépendamment de cet aspect, les rapports des médecins traitants devaient être appréciés avec réserve, compte tenu de la relation de confiance qui les lie au patient et les pousse, dans le doute, à prendre position en faveur de ce dernier (ATF 135 V 465 consid. 4.5). En revanche, ce rapport du médecin traitant de l’assurée éveillait à tout le moins de légers doutes quant à la fiabilité et la pertinence de l’appréciation du médecin d’arrondissement de l’assureur, selon laquelle la déchirure du ménisque procédait d’un état dégénératif postérieur à un accident survenu en 2013. Par conséquent, il n’était pas non plus possible non plus de se fonder sur le rapport du médecin de l’assureur (cf. ATF 142 V 58 consid. 5.1). En conclusion, le dossier ne comportait pas de rapport médical revêtant force probante et qui aurait permis une appréciation définitive du cas. Par ailleurs, on ne pouvait pas considérer, par appréciation anticipée des preuves, qu’en ordonnant d’autres mesures d’instruction médicale, il n’y avait pas lieu d’en attendre de nouvelles conclusions pertinentes pour la résolution du cas (ATF 136 I 229 consid. 5.3). Dans ces circonstances, la présomption légale, selon laquelle il revient à l’assureur-accidents de prendre en charge une lésion corporelle assimilée à un accident ne s’appliquait pas (encore) et il incombait à l’assureur, en application du principe inquisitoire (art. 43 LPGA), de</w:t>
      </w:r>
    </w:p>
    <w:p>
      <w:r>
        <w:t>A/608/2019 - 13/18 - mettre en œuvre une expertise conformément à l’art. 44 LPGA puis de rendre une nouvelle décision.</w:t>
      </w:r>
    </w:p>
    <w:p>
      <w:r>
        <w:rPr>
          <w:b/>
        </w:rPr>
        <w:t>E. 9</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10</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A/608/2019 - 14/18 -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w:t>
      </w:r>
    </w:p>
    <w:p>
      <w:r>
        <w:t>A/608/2019 - 15/18 -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14</w:t>
      </w:r>
    </w:p>
    <w:p>
      <w:r>
        <w:t>mars 2018, supra EN FAIT consid. 13). Il appert ainsi que le dossier sur lequel s’est fondé le Dr F_____ ne contient aucune pièce médicale motivée sur l’origine dégénérative de la déchirure. Enfin, le médecin-conseil de l’intimée – qui n’a ni examiné ni posé de questions au recourant, ni pris contact avec ses médecins – ne prend pas du tout position au sujet du rapport du 5 septembre 2018, dans lequel le Dr C______ mentionne « les circonstances qui ont amené cette lésion, c’est-à-dire l’accident et la chute à moto ». S’il est vrai que les affirmations du Dr C______ semblent se fonder uniquement sur un raisonnement « post hoc ergo propter hoc », insuffisant à établir un lien de causalité naturelle avec l’événement du 26 juin 2017 (cf. ci-dessus : consid. 6), il n’en demeure pas moins que le Dr C______ est le premier médecin à avoir examiné le recourant après cet événement, soit le 27 juillet 2017, et qu’à cette occasion, le recourant a fait état de douleurs résiduelles au genou gauche. Or, à ce niveau-là, le médecin a constaté une palpation douloureuse ainsi qu’une limitation de la flexion et de l’extension du genou gauche, faisant suspecter une lésion méniscale, surtout au niveau du ménisque interne gauche suite à l’accident du 26 juin 2017. L’existence de cette lésion a ensuite été confirmée par l’IRM du 5 octobre 2017. Il s’ensuit que le rapport du Dr C______ éveille à des doutes quant à la fiabilité et à la pertinence de l’appréciation du médecin-conseil de l’intimée, de sorte que la chambre de céans ne saurait se fonder sur son rapport du 19 juillet 2018, pas plus</w:t>
      </w:r>
    </w:p>
    <w:p>
      <w:r>
        <w:t>A/608/2019 - 17/18 - que sur ceux des 10 avril 2018 et 5 septembre 2018 des Dr D______, respectivement C______, vu leur absence de motivation sur l’origine de l’atteinte subie par l’assuré. Au vu du doute qui entoure les suites provoquées par l’événement du 26 juin 2017 (simple contusion vs conséquences plus délétères pour le genou gauche), la présomption légale de l’art. 6 al. 2 LAA, selon laquelle il revient à l’assureur-accidents de prendre en charge une lésion corporelle assimilée à un accident ne s’applique pas (encore). Par conséquent, il incombera à l’intimée, conformément au principe inquisitoire (art. 43 LPGA), de recourir aux services d’un expert indépendant en application de l’art. 44 LPGA.</w:t>
      </w:r>
    </w:p>
    <w:p>
      <w:r>
        <w:rPr>
          <w:b/>
        </w:rPr>
        <w:t>E. 15</w:t>
      </w:r>
    </w:p>
    <w:p>
      <w:r>
        <w:t>Compte tenu de ce qui précède, le recours sera partiellement admis, la décision sur opposition du 15 janvier 2019 annulée et la cause renvoyée à l’intimée pour instruction complémentaire au sens des considérants et nouvelle décision.</w:t>
      </w:r>
    </w:p>
    <w:p>
      <w:r>
        <w:rPr>
          <w:b/>
        </w:rPr>
        <w:t>E. 16</w:t>
      </w:r>
    </w:p>
    <w:p>
      <w:r>
        <w:t>Dans la mesure où l'instruction entreprise par l'intimée se révèle incomplète, ce qui justifie que la cause lui soit renvoyée, il sera renoncé aux mesures d'instruction proposées par le recourant, par appréciation anticipée des preuves (ATF 122 II 464 consid. 4a ; ATF 122 III 219 consid. 3c).</w:t>
      </w:r>
    </w:p>
    <w:p>
      <w:r>
        <w:rPr>
          <w:b/>
        </w:rPr>
        <w:t>E. 17</w:t>
      </w:r>
    </w:p>
    <w:p>
      <w:r>
        <w:t>Bien qu’il obtienne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 Pour le surplus, la procédure est gratuite (art. 61 let. a LPGA). *****</w:t>
      </w:r>
    </w:p>
    <w:p>
      <w:r>
        <w:t>A/608/2019 - 18/18 -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