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ATAS/100/2018 vom 7. Februar 2018</w:t>
      </w:r>
    </w:p>
    <w:p>
      <w:r>
        <w:t>GE Cour de justice, 2018-02-07, FR</w:t>
      </w:r>
    </w:p>
    <w:p>
      <w:r>
        <w:rPr>
          <w:b/>
        </w:rPr>
        <w:t xml:space="preserve">Quelle: </w:t>
      </w:r>
      <w:r>
        <w:t>https://mcp.opencaselaw.ch/entscheid/ge_gerichte_ATAS_100_2018</w:t>
      </w:r>
    </w:p>
    <w:p>
      <w:r>
        <w:t>FR: GE_GERICHTE ATAS/100/2018 du 7 février 2018</w:t>
      </w:r>
    </w:p>
    <w:p>
      <w:r>
        <w:t>IT: GE_GERICHTE ATAS/100/2018 del 7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t>A/1451/2017 - 14/23 -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w:t>
      </w:r>
    </w:p>
    <w:p>
      <w:r>
        <w:t>A/1451/2017 - 15/23 -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et les références ;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mais ne sont pas applicables par analogie à la fatigue liée au cancer (cancer- related Fatigue) (ATF 139 V 346 consid. 3; arrêt du Tribunal fédéral 9C_73/2013 du 2 septembre2013 consid. 5).</w:t>
      </w:r>
    </w:p>
    <w:p>
      <w:r>
        <w:t>A/1451/2017 - 16/23 -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w:t>
      </w:r>
    </w:p>
    <w:p>
      <w:r>
        <w:t>A/1451/2017 - 17/23 - propres aux troubles de nature psychosomatique (ATF 141 V 281 consid. 4). Ces indicateurs concernent deux catégories, à savoir celle du degré de gravité fonctionnelle et celle de la cohérence.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w:t>
      </w:r>
    </w:p>
    <w:p>
      <w:r>
        <w:t>A/1451/2017 - 18/23 -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w:t>
      </w:r>
    </w:p>
    <w:p>
      <w:r>
        <w:t>A/1451/2017 - 19/23 -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A/1451/2017 - 20/23 -</w:t>
      </w:r>
    </w:p>
    <w:p>
      <w:r>
        <w:rPr>
          <w:b/>
        </w:rPr>
        <w:t>E. 13</w:t>
      </w:r>
    </w:p>
    <w:p>
      <w:r>
        <w:t>En l’espèce, l’intimé considère que la capacité de travail de la recourante dans son activité habituelle d’indépendante dans le transfert d’argent ou dans toute autre activité adaptée à ses limitations fonctionnelles, est nulle du 7 janvier au 30 juin 2014, de 50% du 1er juillet au 31 décembre 2014 et de 80% dès le 1er janvier 2015. Ainsi, le 7 janvier 2015, à l’échéance du délai d’attente d’une année, son incapacité de gain était de 20%, soit un taux insuffisant pour ouvrir le droit à une rente d’invalidité. Pour parvenir à cette conclusion, l’intimé se fonde sur l’expertise de la PMU du 16 novembre 2016, ainsi que sur les rapports du SMR des 7 février et</w:t>
      </w:r>
    </w:p>
    <w:p>
      <w:r>
        <w:rPr>
          <w:b/>
        </w:rPr>
        <w:t>E. 15</w:t>
      </w:r>
    </w:p>
    <w:p>
      <w:r>
        <w:t>juin 2017 qui s’y rapportent. Quant à la recourante, s’appuyant sur les rapports des Drs E______ et F______, elle conteste la valeur probante de l’expertise de la PMU et considère que sa capacité de travail ne saurait excéder 20% dans une activité adaptée à ses limitations fonctionnelles, ce qui lui donnerait le droit à une rente entière d’invalidité. En l’occurrence, l’expertise de la PMU est fondée sur une étude du dossier et un examen clinique de la recourante, pour chacune des spécialités médicales pertinentes. Les experts se sont fondés sur le dossier mis à leur disposition, l’examen de médecine interne du 6 septembre 2016, le consilium d’oncologie du 21 septembre 2016, le consilium de rhumatologie du 28 septembre 2016 et le consilium psychiatrique du 4 octobre 2016. Ils ont rappelé le contexte de l’expertise, résumé les pièces médicales figurant au dossier, exposé l’anamnèse de la recourante, fait état de ses plaintes et de leurs constatations objectives, avant de poser leurs diagnostics et de répondre aux questions posées par l’OAI. Les diagnostics retenus sont clairs et découlent directement des constatations objectives telles qu’elles ressortent de l’expertise. Leurs conséquences ou non sur la capacité de travail sont motivées de manière complète et convaincante, étant précisé que les conclusions des experts ont été prises après une discussion dans le cadre d’un colloque de synthèse multidisciplinaire le 8 novembre 2016. Dès lors, cette expertise répond aux exigences de la jurisprudence et doit se voir reconnaître une pleine valeur probante. Il en va de même pour les avis du SMR qui s’y rapportent. Cela étant, la recourante fait valoir plusieurs griefs à l’encontre de cette expertise. Elle reproche tout d’abord aux experts de ne pas avoir pris contact avec ses médecins traitants alors même que les derniers éléments médicaux figurant au dossier dataient de 2012, soit trois ans avant l’expertise. Cela étant, elle n’explique pas ce que ses médecins auraient pu apporter de plus à l’expertise, laquelle se fonde sur les avis médicaux figurant au dossier et sur des examens cliniques approfondis réalisés par des spécialistes dans les domaines de la médecine interne générale, de la rhumatologie, de l’oncologie et de la psychiatrie (cf. arrêt du Tribunal fédéral 9C_661/2017 du 19 janvier 2018 consid. 4.2). En tout état de cause, force est de constater que contrairement à ce que soutient la recourante, les derniers rapports médicaux versés au dossier datent de 2015, soit un an avant la réalisation de</w:t>
      </w:r>
    </w:p>
    <w:p>
      <w:r>
        <w:t>A/1451/2017 - 21/23 - l’expertise, ce qui constitue actuellement un délai usuel dans le contexte d’une expertise pluridisciplinaire. La recourante fait également grief aux experts d’avoir ignoré sa maladie de Chagas. Tel n’est pourtant pas le cas, puisqu’à la lecture de l’expertise, il apparaît que ceux- ci l’ont diagnostiquée, tout en constatant qu’elle n’avait aucune expression clinique, donc aucune incidence sur la capacité de travail de l’intéressée. Quant à l’argument que les experts n’auraient pas tenu compte de l’évolution potentielle de son cancer du sein et des effets secondaires du traitement, il tombe également à faux. En effet, les experts ont relevé que le pronostic actuel du cancer du sein était bon et que le traitement y relatif devait se poursuivre jusqu’en 2019. En l’absence d’éléments médicaux démontrant une évolution négative de ce cancer, ce qui est confirmé par le Dr F______, la recourante ne saurait critiquer l’appréciation des experts. Sur la question des effets secondaires du traitement, la position de la recourante est d’autant plus surprenante qu’il ressort clairement de l’expertise qu’une partie des limitations fonctionnelles et de l’intensité des troubles présentés par l’intéressée est mise en relation directe avec la prise dudit traitement, ce qui a une influence sur la capacité de travail, selon les experts. En ce qui concerne le fait que l’expertise n’examinerait pas si le diagnostic de fibromyalgie est incapacitant, il convient de relever qu’aucun des médecins traitants ou experts n’a retenu un quelconque diagnostic de fibromyalgie. Dans le cadre de la discussion du cas, les experts se sont contentés d’écarter la possibilité d’un trouble somatoforme douloureux, en l’absence des critères nécessaires à son diagnostic, en particulier d’une comorbidité psychiatrique d’intensité suffisante. La recourante ne saurait pas non plus être suivie lorsqu’elle soutient que les experts n’ont pas tenu compte d’une diminution de rendement dans l’évaluation de sa capacité de travail. En effet, il ressort clairement de l’expertise que l’intéressée présente soit une capacité de travail de 100%, avec une diminution de rendement de 20%, soit une capacité de travail de 80%, sans diminution de rendement, ce qui revient au même du point de vue du calcul du degré d’invalidité. Enfin, l’intéressée reproche aux experts d’avoir sous-estimé sa situation rhumatologique et psychiatrique et sa fatigue, d’avoir retenu une dysthymie et non un trouble dépressif récurent, épisode actuel léger à moyen, et d’avoir considéré que sa capacité de travail était de 80%, alors que le Dr F______ la fixait à 20%. En réalité, la recourante se contente de substituer sa propre appréciation et celle du Dr F______ à celle des experts, ce qui ne saurait être suffisant pour s’écarter de leurs conclusions. En effet,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w:t>
      </w:r>
    </w:p>
    <w:p>
      <w:r>
        <w:t>A/1451/2017 - 22/23 - en œuvre d'un complément d'instruction (arrêt du Tribunal fédéral 9C_618/2014 du 9 janvier 2015 consid. 6.2.3), ce qui n’est pas le cas en l’espèce. S’agissant des rapports des Drs E______ et F______ antérieurs à l’expertise, ils ont été pris en compte par les experts. On relèvera également que l’expertise visait précisément à clarifier les éléments soulevés à l’époque par les médecins traitants de la recourante. Enfin, en ce qui concerne le rapport du 11 mai 2017 du Dr F______, il apparaît que ce dernier reconnaît la qualité du travail des experts et la justesse des limitations fonctionnelles retenues dans l’ensemble, mais que son appréciation de la capacité de travail diffère. En effet, selon le Dr F______, l’expertise sous-estime plusieurs aspects de l’état de santé de la recourante. Or, selon la jurisprudence, le simple fait qu’un médecin traitant ait une appréciation différente du cas ne saurait suffire à remettre en question les conclusions d’une expertise, en l’absence d’éléments objectifs ignorés par les experts et suffisamment pertinents. En l’occurrence, le rapport du Dr F______ ne contient pas de tels éléments, de sorte qu’il ne permet pas de s’écarter des conclusions de l’expertise de la PMU. En outre, il convient de constater que l’appréciation de la capacité de travail de la recourante par le Dr F______ repose à plusieurs égards sur le contexte psycho-social de l’intéressée, ce qui n’est pas pertinent pour l’assurance-invalidité, ainsi que sur des hypothèses non réalisées ou non vérifiées, malgré plusieurs années de traitement, en rapport avec l’évolution potentielle du cancer du sein, les effets de la maladie de Chagas et les troubles psychiques de la recourante. L’ensemble de ces éléments ne permet pas de reconnaître une valeur probante à ce rapport, et par conséquent de s’écarter de l’expertise de la PMU. La valeur probante de l’expertise étant établie, la chambre de céans dispose de tous les éléments nécessaires à la résolution du litige, de sorte que ni l’audition des Drs M______ et N______, ni la mise en œuvre d’une expertise judiciaire ne s’avèrent nécessaires. Par conséquent, c’est à bon droit que l’intimé considère la recourante capable de travailler à 80% dans son activité habituelle ou toute autre activité adaptée à ses limitations fonctionnelles et lui nie le droit une rente d’invalidité, sur la base de l’expertise de la PMU. On ajoutera encore que dans la mesure où la recourante peut exercer son activité habituelle, aucune mesure d’ordre professionnelle ne se justifie. 14. Au vu de ce qui précède,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A/1451/2017 - 23/23 -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