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ATAS/100/2016 vom 9. Februar 2016</w:t>
      </w:r>
    </w:p>
    <w:p>
      <w:r>
        <w:t>GE Cour de justice, 2016-02-09, FR</w:t>
      </w:r>
    </w:p>
    <w:p>
      <w:r>
        <w:rPr>
          <w:b/>
        </w:rPr>
        <w:t xml:space="preserve">Quelle: </w:t>
      </w:r>
      <w:r>
        <w:t>https://mcp.opencaselaw.ch/entscheid/ge_gerichte_ATAS_100_2016</w:t>
      </w:r>
    </w:p>
    <w:p>
      <w:r>
        <w:t>FR: GE_GERICHTE ATAS/100/2016 du 9 février 2016</w:t>
      </w:r>
    </w:p>
    <w:p>
      <w:r>
        <w:t>IT: GE_GERICHTE ATAS/100/2016 del 9 febbraio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w:t>
      </w:r>
    </w:p>
    <w:p>
      <w:r>
        <w:t>A/174/2016 3/4 calcul, on ajoute à la prestation de sortie et à l'avoir de libre passage existant au moment de la conclusion du mariage les intérêts dus au moment du divorce (ATF 128 V 230;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établissant les faits, a déterminé que le partage à exécuter consiste à ordonner le transfert de la moitié de la prestation de libre passage accumulée durant le mariage par le défendeur – soit CHF 8'154.65 – en faveur de la demanderesse. N’ayant pu obtenir de la demanderesse les coordonnées d’un compte de libre passage ouvert auprès d’une assurance ou d’une banque, il a transmis le jugement de divorce, une fois devenu définitif, à la chambre de céans, pour exécution du partage.</w:t>
      </w:r>
    </w:p>
    <w:p>
      <w:r>
        <w:rPr>
          <w:b/>
        </w:rPr>
        <w:t>E. 5</w:t>
      </w:r>
    </w:p>
    <w:p>
      <w:r>
        <w:t>Selon les documents produits à l’invitation de la chambre de céans, la demanderesse a ouvert un compte de libre passage auprès de Rendita fondation de libre passage, compte postal 1______, IBAN CH 2______C’est sur ce compte que doit être transférée la moitié de la prestation de libre passage du défendeur telle qu’établie par le Tribunal de première instance, à savoir CHF 8'154.65.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A/174/2016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