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ATAS/1009/2015 vom 23. Dezember 2015</w:t>
      </w:r>
    </w:p>
    <w:p>
      <w:r>
        <w:t>GE Cour de justice, 2015-12-23, FR</w:t>
      </w:r>
    </w:p>
    <w:p>
      <w:r>
        <w:rPr>
          <w:b/>
        </w:rPr>
        <w:t xml:space="preserve">Quelle: </w:t>
      </w:r>
      <w:r>
        <w:t>https://mcp.opencaselaw.ch/entscheid/ge_gerichte_ATAS_1009_2015</w:t>
      </w:r>
    </w:p>
    <w:p>
      <w:r>
        <w:t>FR: GE_GERICHTE ATAS/1009/2015 du 23 décembre 2015</w:t>
      </w:r>
    </w:p>
    <w:p>
      <w:r>
        <w:t>IT: GE_GERICHTE ATAS/1009/2015 del 23 dicembre 2015</w:t>
      </w:r>
    </w:p>
    <w:p>
      <w:pPr>
        <w:pStyle w:val="Heading2"/>
      </w:pPr>
      <w:r>
        <w:t>Erwägungen</w:t>
      </w:r>
    </w:p>
    <w:p>
      <w:r>
        <w:rPr>
          <w:b/>
        </w:rPr>
        <w:t>E. 16</w:t>
      </w:r>
    </w:p>
    <w:p>
      <w:r>
        <w:t>Par pli du 21 juin 2015 adressé à l’OAI et transmis par ce dernier à la Cour de céans comme objet de sa compétence, l’assuré a contesté cette décision. Il souligne que son incapacité de travail de longue durée résulte d’une atteinte à sa santé et reproche à l’OAI de ne pas avoir pris en compte l’évolution de son état. Le recourant explique qu’une opération est encore prévue pour son arthrose aux genoux. Il invoque également des palpitations cardiaques, des céphalées chroniques, des nausées, des troubles de la tension artérielle, des douleurs ostéo- articulaires multiples et un syndrome dépressif grave entraînant une baisse de motivation et de rendement et des troubles du sommeil non compatibles avec une activité professionnelle et anéantissant ses capacités d’apprentissage et d’adaptation.</w:t>
      </w:r>
    </w:p>
    <w:p>
      <w:r>
        <w:t>A/2283/2015 - 5/18 - Il fait valoir qu’après de nombreuses années d’inactivité professionnelle et au vu de son état de santé physique et psychique actuel, son incapacité de travail tend à être totale. Il ajoute enfin que, compte tenu de son rendement quasiment nul dans toute activité, une mesure professionnelle serait difficilement envisageable.</w:t>
      </w:r>
    </w:p>
    <w:p>
      <w:r>
        <w:rPr>
          <w:b/>
        </w:rPr>
        <w:t>E. 17</w:t>
      </w:r>
    </w:p>
    <w:p>
      <w:r>
        <w:t>La SUVA a statué à son tour en date du 3 juillet 2015 et a retenu une perte de gain de 6%.</w:t>
      </w:r>
    </w:p>
    <w:p>
      <w:r>
        <w:rPr>
          <w:b/>
        </w:rPr>
        <w:t>E. 18</w:t>
      </w:r>
    </w:p>
    <w:p>
      <w:r>
        <w:t>Invité à se déterminer, l’intimé, dans sa réponse du 20 juillet 2015, a conclu au rejet du recours. L’intimé relève que le Dr D______, dans son rapport du 27 octobre 2014, a qualifié l’évolution de l’état du recourant de bonne, ce qu’a confirmé le rapport du médecin d’arrondissement de la SUVA du 12 décembre 2014. Il fait remarquer qu’aucun trouble évident de la thymie n’a été constaté à cette occasion et rappelle qu’aux termes du rapport précité, l’évolution de l’arthrodèse a été qualifiée de favorable, avec une consolidation satisfaisante au bilan radiographique le plus récent. Enfin, l’intimé relève que le degré d’invalidité retenu par la SUVA est sensiblement identique à celui auquel il est lui-même parvenu.</w:t>
      </w:r>
    </w:p>
    <w:p>
      <w:r>
        <w:rPr>
          <w:b/>
        </w:rPr>
        <w:t>E. 19</w:t>
      </w:r>
    </w:p>
    <w:p>
      <w:r>
        <w:t>Le 22 octobre 2015, la chambre de céans a entendu les parties en audience de comparution personnelle. Le recourant a indiqué que, depuis bientôt une année, il dispose d’un appareil pour traiter ses apnées du sommeil, ce qui a un peu amélioré son état. Il a expliqué que même avant son accident, il était en proie à la fatigue, suite à l’infarctus dont il a été victime quelques années auparavant ; cependant cet état n’était pas trop handicapant et ne l’avait d’ailleurs jamais empêché de travailler. Le recourant a précisé avoir fait l’objet d’une nouvelle intervention, une greffe osseuse au niveau de sa cheville droite, le 5 septembre 2015. Questionné sur son état psychique, le recourant a fait part de sa réticence à se faire suivre par un spécialiste et précisé ne pas ressentir le besoin d’un traitement médicamenteux. Le recourant a souligné qu’il n’est plus en mesure d’exercer sa profession de monteur-électricien. Il estime pouvoir difficilement exercer une autre profession, dans la mesure où il ne peut rester debout plus de quatre heures. Il admet qu’une activité s’exerçant en position assise serait envisageable, à condition de pouvoir faire des pauses, puisque, devant un écran d’ordinateur, la fatigue l’assaille après une heure, voire une heure et demie.</w:t>
      </w:r>
    </w:p>
    <w:p>
      <w:r>
        <w:t>A/2283/2015 - 6/18 - Enfin, le recourant a précisé être au bénéfice d’une formation d’employé de commerce, activité qu’il a exercée dans le passé, avant de devenir militaire de carrière puis d’exercer la profession de monteur-électricien.</w:t>
      </w:r>
    </w:p>
    <w:p>
      <w:r>
        <w:rPr>
          <w:b/>
        </w:rPr>
        <w:t>E. 20</w:t>
      </w:r>
    </w:p>
    <w:p>
      <w:r>
        <w:t>À l’issue de l’audience, la cause a été gardée à juger.</w:t>
      </w:r>
    </w:p>
    <w:p>
      <w:r>
        <w:t>EN DROIT</w:t>
      </w:r>
    </w:p>
    <w:p>
      <w:r>
        <w:t>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21 mai 2015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60 al. 1 LPGA). Interjeté dans la forme et délai prévus par loi, le recours est recevable (art. 56 à 61 LPGA et 17 al. 5 de la loi sur la procédure administrative du 12 septembre 1985 [LPA/GE - E 5 10]).</w:t>
      </w:r>
    </w:p>
    <w:p>
      <w:r>
        <w:t>A/2283/2015 - 7/18 - 4. L’objet du litige porte le droit du recourant à des prestations de l’assurance- invalidité, singulièrement sur sa capacité de travail et son degré d’invalidité.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Dans une ancienne jurisprudence, le Tribunal fédéral a eu l'occasion d'affirmer que la notion d’invalidité est en principe identique en matière d’assurance- accidents, d’assurance militaire et d’assurance-invalidité. Partant, le Tribunal fédéral a considéré que l'assureur social, lorsqu'il ne fait pas usage de la possibilité d'attaquer la décision d'un autre assureur, doit en principe se laisser opposer la présomption d'exactitude de l'évaluation de l'invalidité effectuée (ATF 126 V 288). Cependant, le Tribunal fédéral a par la suite assoupli ce principe et précisé que l'assurance-invalidité n'était pas liée de manière absolue par l'évaluation de l'invalidité par l'assurance-accidents (ATF 133 V 579 consid. 6).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A/2283/2015 - 8/18 -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du SMR au sens de l’art. 59 al. 2bis LAI (en corrélation avec l’art. 49 al. 1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leur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t>A/2283/2015 - 9/18 - 8.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10. a. En l’espèce, il n’est pas contesté que le recourant est désormais totalement incapable d’exercer son activité habituelle de monteur-électricien et ce, depuis le 11 juillet 2013. Seule demeure litigieuse l’évaluation de sa capacité de travail dans une activité adaptée à ses limitations fonctionnelles. Faisant siennes les conclusions de son service médical fondées sur celles du rapport médical du Dr F______ du 15 décembre 2014, l’intimé considère que l’assuré peut exercer à plein temps toute activité adaptée depuis le 12 septembre 2014. De son côté, le recourant allègue que son état de santé physique, caractérisé par de l’arthrose aux genoux, des palpitations cardiaques, des céphalées et troubles du sommeil chroniques, des nausées, des troubles de la tension artérielle et des douleurs ostéo-articulaires, ainsi que des troubles dépressifs, est incompatible avec l’exercice d’une activité, quelle qu’elle soit. b. Se pose, dès lors, la question de la valeur probante du rapport d’examen du 15 décembre 2014 établi par le Dr F______, dans la mesure où, quand bien même le recourant ne conteste pas son contenu en soi, il s’est opposé à ses conclusions, avant de nuancer et préciser sa position lors de l’audience de comparution personnelle du 22 octobre 2015. Il résulte notamment du rapport du 15 décembre 2014 que le recourant ne présentait pas de trouble évident de la thymie, que l’évolution de l’arthrodèse sous-talienne était tout à fait favorable et que l’assuré pourrait exercer une activité professionnelle à plein temps, moyennant le respect de certaines limitations fonctionnelles. Le Dr F______ a convenu en revanche que l’ancienne activité de monteur-électricien n’était plus exigible.</w:t>
      </w:r>
    </w:p>
    <w:p>
      <w:r>
        <w:t>A/2283/2015 - 10/18 - La chambre de céans observe, tout d’abord, que le rapport du Dr F______ se base sur un examen physique du recourant et sur son dossier médical. L'anamnèse est complète et les plaintes de l’intéressé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 en tous points les réquisits jurisprudentiels pour que lui soit accordée une pleine valeur probante. c. Encore faut-il examiner si d’autres avis médicaux commandent de s’écarter de ses conclusions. Tel n’est pas le cas : Le rapport du 12 août 2014 du Département de chirurgie des HUG mentionne une évolution favorable et l’absence de circonstances particulières pouvant influencer de manière défavorable le processus de guérison. Celui rédigé le 27 octobre 2014 par le Dr D______ confirme la bonne évolution et l’absence de circonstances particulières de nature à influer défavorablement le processus de guérison. Il ajoute qu’aucun dommage permanent n’est à craindre. Quant à celui de la Dresse E______ du 31 octobre 2014, il préconise certes une polysomnographie, sans alléguer toutefois que les troubles du sommeil ou de la thymie seraient susceptibles d’affecter la capacité de travail de l’assuré. Force est de constater que rien ne vient infirmer les conclusions du Dr F______, auxquelles il convient donc de se rallier. d. Sans produire aucun certificat médical à l’appui de ses allégations, le recourant a d’abord soutenu, dans son écriture du 21 juin 2015, que les médecins avaient considéré que l’exercice d’une activité n’était désormais plus exigible de sa part. Il a également allégué que sa capacité de rendement et ses chances de réinsertion étaient nulles. Or, les Drs F______ et G______ ont estimé sa capacité de travail à 100% dans une activité adaptée, sans mentionner aucune diminution de rendement. D’ailleurs, lors de l’audience du 22 octobre 2011, le recourant a relativisé l’ampleur de la plupart des affections dont il avait affirmé souffrir dans son recours. Il a notamment précisé que, traité depuis bientôt une année pour ses apnées du sommeil, son état s’était amélioré ; il a également convenu que la fatigue dont il souffrait depuis son infarctus ne l’avait jamais empêché de travailler. On ajoutera que la Dresse E______, dans son rapport 31 octobre 2014, a constaté l’absence d’atteinte notable au status cardio-pulmonaire et neurologique. Quant aux autres maux invoqués par le recourant (i.e. arthrose aux genoux, céphalées chroniques, nausées, troubles de la tension artérielle, douleurs ostéo- articulaires multiples), force est de constater que bien qu’ils soient présents, selon</w:t>
      </w:r>
    </w:p>
    <w:p>
      <w:r>
        <w:t>A/2283/2015 - 11/18 - ses dires, depuis plusieurs années, ils n’ont pas non plus constitué un obstacle à l’exercice d’une activité professionnelle (l’assuré, lors d’un entretien à la SUVA du 30 octobre 2013, a indiqué avoir travaillé en qualité de monteur-électricien de 2003 à 2011, puis à nouveau en 2013). S’agissant de l’état dépressif qu’il invoque, celui-ci n’est corroboré par aucun document médical et le recourant ne fait d’ailleurs l’objet d’aucun traitement ou suivi sur ce plan, ce qui tend à démontrer que ce trouble - si trouble il y a - n’atteint pas un degré de gravité tel qu’il empêcherait l’exercice d’une activité. Le recourant a d’ailleurs finalement concédé qu’une profession assise serait envisageable, avec l’aménagement de pauses. Enfin, il est à noter que la greffe osseuse que le recourant a subie le 5 septembre 2015 au niveau de la cheville droite est intervenue après la décision litigieuse, de sorte qu’elle ne peut pas être prise en compte par la chambre de céans. Quoi qu’il en soit, l’incapacité de travail qui en a résulté n’a vraisemblablement été que temporaire. e. Compte tenu des conclusions convaincantes du Dr F______, au demeurant non contredites par le rapport de la Dresse E______, les constatations sommaires du Dr D______ et le Département de chirurgie des HUG, ainsi que par les propos tenus par le recourant en audience de comparution personnelle, la chambre de céans retiendra, au degré de la vraisemblance prépondérante, comme l’a fait à juste titre l’intimé, que le recourant est capable d’exercer à plein temps une activité adaptée, moyennant le respect des limitations retenues par le SMR, soit éviter la montée et descente répétée des escaliers, le port de charges de plus de 15 kg, les stations debout prolongées et la marche sur terrain instable. 11. S’agissant de la date à partir de laquelle une telle capacité de travail peut être retenue, le SMR la fixe au 12 septembre 2014. Le Dr D______, dans son rapport du 27 octobre 2014, n’a pas fixé de date pour la reprise du travail mais il ne faisait plus état des douleurs décrites dans le rapport du Département de chirurgie des HUG du 12 août 2014, ce dont on peut conclure qu’elles avaient alors disparu ou à tout le moins diminué. Dans son rapport du 15 décembre 2014, le Dr F______ a constaté l’aptitude du recourant à exercer une activité adaptée à plein temps. Au vu de l’évolution favorable et sans complications de l’arthrodèse sous-talienne pratiquée en juin 2014, il n’est pas insoutenable de considérer, comme le fait le SMR, que le recourant a été en mesure d’exercer une profession adaptée à plein temps à partir de septembre 2014, soit trois mois après l’opération. 12. Il convient à présent de vérifier le calcul du degré d’invalidité. a. L’assuré a droit à une rente lorsqu’il a présenté une incapacité de travail (art. 6 LPGA) d’au moins 40% en moyenne durant une année sans interruption</w:t>
      </w:r>
    </w:p>
    <w:p>
      <w:r>
        <w:t>A/2283/2015 - 12/18 -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(ci-après : l’ESS) (ATF 126 V 75 consid. 3b/aa et bb). On se réfère alors à la statistique des salaires bruts standardisés, en se fondant toujours sur la médiane ou valeur centrale (ATF 124 V 321 consid. 3b/bb).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w:t>
      </w:r>
    </w:p>
    <w:p>
      <w:r>
        <w:t>A/2283/2015 - 13/18 -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f.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w:t>
      </w:r>
    </w:p>
    <w:p>
      <w:r>
        <w:t>A/2283/2015 - 14/18 - contributions patronales à la prévoyance professionnelle obligatoire, ainsi que de la durée prévisible des rapports de travail (arrêt du Tribunal fédéral 9C_913/2012 du 9 avril 2013 consid. 5.2 et les références). À cet égard, il sied de préciser que le Tribunal fédéral a considéré qu’un homme de l’âge de 60 ans et deux mois n'était pas proche de la retraite (arrêt 9C_393/2008 du 27 janvier 2009) a fortiori un homme de 58 ans (arrêt 9C_800/2008 du 18 septembre 2009). 13. a. En l'occurrence, le droit éventuel à la rente est né au plus tôt en septembre 2014, dès lors que la demande de prestations a été déposée le 11 mars 2014 et que le début de l'incapacité de travail durable déterminante, soit une incapacité de travail d'au moins 40% en moyenne depuis une année sans interruption notable, est présente depuis le 11 juillet 2013. Pour déterminer le degré d'invalidité du recourant, avec une capacité de travail de 100% dans une activité adaptée, il convient ainsi de se placer en 2014, et non en 2013 comme l'a considéré l’intimé. b. S’agissant du revenu sans invalidité, l’intimé s’est référé, à juste titre, à la dernière activité du recourant en 2013. Il ressort des pièces contenues dans le dossier, notamment du contrat de mission du recourant auprès de C______ Sàrl, que le nombre d’heures de travail par semaine était de 40 et que le salaire horaire de base du recourant s’élevait à CHF 26.29 avec une part de 13ème salaire de CHF 2.52, pour un total de CHF 28.81. Dans son calcul, l’intimé a divisé à tort par douze le nombre d’heures qu’aurait effectuées le recourant en 2013, dans la mesure où il s’agit de déterminer le salaire annuel et non mensuel que l’assuré aurait pu obtenir au moment déterminant s’il n’était pas invalide. Il y a donc lieu de retenir que le salaire annuel du recourant, comprenant le 13ème salaire, s’élève à CHF 59'924.80 en 2013 (28.81 x 40 [nombre d’heures par semaine] x 52 semaines). Adapté selon l’indice suisse des salaires nominaux pour les hommes (ISS en 2013 : 2204 et en 2014 : 2220), le revenu du recourant sans invalidité en tant qu’aide monteur-électricien aurait été de CHF 60'359.80.- (59'924.80 x 2220/2204). c. Concernant le salaire avec invalidité, dans la mesure où le recourant n’a pas repris une activité lucrative, c’est à juste titre que l’intimé s’est référé aux ESS. Compte tenu de l’activité de substitution raisonnablement exigible de la part du recourant dans un emploi adapté à son état de santé, le salaire de référence est bien celui que peuvent prétendre les hommes effectuant des activités simples et répétitives (niveau de qualification 4) dans le secteur privé, à savoir CHF 65’520.- par année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w:t>
      </w:r>
    </w:p>
    <w:p>
      <w:r>
        <w:t>A/2283/2015 - 15/18 - inférieure à la moyenne usuelle dans les entreprises en 2014 (41,7 heures ; Office fédéral de la statistique – statistique de durée normale du travail dans les entreprises, DNT), ce montant doit être porté à 65'177 (65'520 x 41.7 : 40) et à CHF 66'130.-, indexé à 2014 selon l’évolution des salaires en termes nominaux (ISS, en 2012 : 2188 et en 2014 : 2220 ; soit 65'177 x 2220/2188). En outre, la prise en compte d’un abattement supplémentaire sur le salaire statistique n’est pas contestée, afin de tenir compte des limitations fonctionnelles du recourant. L’intimé a tenu compte d’un abattement de 10% sur le salaire statistique, pour tenir compte des limitations fonctionnelles. Le recourant soutient que son âge (57 ans au jour de la décision litigieuse) constitue un obstacle à sa réinsertion professionnelle. Cependant, il n'est pas proche de l'âge de la retraite dès lors que celui-ci est fixé à 65 ans pour les hommes. Ainsi, il ne convient pas d’exclure pour des motifs liés à l’âge du recourant toute perspective raisonnable de réinsertion dans le marché du travail, notamment compte tenu de sa formation d’employé de commerce. Il y a cependant lieu de relever que les effets de l’âge du recourant et de son absence prolongée du marché du travail peuvent influer concrètement ses perspectives salariales. À cet égard, l’abattement de 10% retenu par l’intimé ne tient pas compte de manière appropriée de ces facteurs, de sorte qu’une déduction de 15% apparaît plus justifiée. Hormis ces éléments, il n’y a pas d’autres circonstances à prendre en considération. Ainsi, le revenu annuel brut avec invalidité, compte tenu d’un abattement de 15%, peut être fixé à CHF 56'210.50. d. Il s’ensuit que la perte de gain du recourant est de CHF 5'900.50 par année (soit 60'359.80 – 56'210.50), ce qui représente 6,87% du revenu sans invalidité ([4'149.30/60'359.80]*100). C’est le lieu de relever que, pour déterminer le degré d’invalidité selon la méthode de comparaison des revenus, c’est la perte de gain (et non le revenu avec invalidité après abattement) qui doit être mise en rapport avec le revenu hypothétique sans invalidité. Le résultat exact du calcul doit ensuite être arrondi au chiffre en pour cent supérieur ou inférieur selon les règles applicables en mathématiques (ATF 130 V 121 consid. 3, modifiant la jurisprudence publiée aux ATF 127 V 129 consid. 39). Le taux d’invalidité du recourant est donc de 7%, taux insuffisant pour ouvrir droit à une rente d’invalidité (art. 28 al. 1 LAI) ou même à des mesures de reclassement dans une nouvelle profession (art. 17 LAI). En effet, le droit à un reclassement suppose une diminution de la capacité de gain de 20% environ dans toute activité raisonnablement exigible et pouvant être exercée sans formation complémentaire (ATF 124 V 108 consid. 2/b et les références).</w:t>
      </w:r>
    </w:p>
    <w:p>
      <w:r>
        <w:t>A/2283/2015 - 16/18 - 14. Reste à déterminer si le recourant peut prétendre à une autre mesure de réadaptation que le reclassement, tels l’orientation professionnelle ou l’aide au placement.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15.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b. En l’espèce, les limitations prescrites par les médecins ne paraissent pas excessivement contraignantes. De surcroît, le recourant dispose d’une formation d’employé de commerce et il ressort de son curriculum vitae qu’il a travaillé dans un établissement de gestion de fortune de 1991 à 1996, dans l’administration de 1997 à 1998, puis comme aide-monteur électricien. Ainsi, dans la mesure où le recourant est capable d’exercer toute activité légère compatible avec ses limitations et sa formation, force est de constater que le marché du travail offre un éventail suffisamment large d’activités adaptées à ses limitations, dont l’exercice est exigible. Partant, le recourant n’a pas droit à une mesure d’orientation professionnelle.</w:t>
      </w:r>
    </w:p>
    <w:p>
      <w:r>
        <w:t>A/2283/2015 - 17/18 - 16. Aux termes de l'art. 18 al. 1 LAI, dans sa teneur en vigueur depuis le 1er janvier 2008, l'assuré présentant une incapacité de travail et susceptible d'être réadapté a droit : à un soutien actif dans la recherche d'un emploi approprié et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des assurances I 421/01 du 15 juillet 2002 consid. 2c, comparés aux arrêts du Tribunal fédéral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En l’espèce, le recourant, considérant que des mesures professionnelles ne seraient pas susceptibles d’augmenter sensiblement ses perspectives de gain sur le moyen terme, n’a déposé aucune requête motivée en vue d’une aide au placement, de sorte qu’il ne peut en l’état se voir accorder une telle mesure. L’intéressé semblant toutefois avoir besoin d’un soutien actif dans la recherche d’un emploi approprié, il convient de le rendre attentif au fait qu’il peut déposer une requête motivée auprès de l’OAI en vue d’obtenir une aide au placement. Les pièces versées au dossier permettent de statuer sur le degré d’invalidité du recourant et son droit à des mesures d’ordre professionnel. Partant, il n’y a pas lieu d’ordonner des mesures d’instruction complémentaires, par appréciation anticipée des preuves. 17. Mal fondé, le recours est rejeté. La procédure n’étant pas gratuite (art. 69 al. 1bis LAI), il y a lieu de condamner le recourant au paiement d’un émolument de CHF 200.-.</w:t>
      </w:r>
    </w:p>
    <w:p>
      <w:r>
        <w:t>A/2283/2015 - 18/18 -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