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ATAS/1009/2008 vom 15. September 2008</w:t>
      </w:r>
    </w:p>
    <w:p>
      <w:r>
        <w:t>GE Cour de justice, 2008-09-15, FR</w:t>
      </w:r>
    </w:p>
    <w:p>
      <w:r>
        <w:rPr>
          <w:b/>
        </w:rPr>
        <w:t xml:space="preserve">Quelle: </w:t>
      </w:r>
      <w:r>
        <w:t>https://mcp.opencaselaw.ch/entscheid/ge_gerichte_ATAS_1009_2008</w:t>
      </w:r>
    </w:p>
    <w:p>
      <w:r>
        <w:t>FR: GE_GERICHTE ATAS/1009/2008 du 15 septembre 2008</w:t>
      </w:r>
    </w:p>
    <w:p>
      <w:r>
        <w:t>IT: GE_GERICHTE ATAS/1009/2008 del 15 settembre 2008</w:t>
      </w:r>
    </w:p>
    <w:p>
      <w:pPr>
        <w:pStyle w:val="Heading2"/>
      </w:pPr>
      <w:r>
        <w:t>Erwägungen</w:t>
      </w:r>
    </w:p>
    <w:p>
      <w:r>
        <w:rPr>
          <w:b/>
        </w:rPr>
        <w:t>E. 1</w:t>
      </w:r>
    </w:p>
    <w:p>
      <w:r>
        <w:t>Par arrêt incident du 9 juillet 2008, le Tribunal de céans a déclaré le recours recevable.</w:t>
      </w:r>
    </w:p>
    <w:p>
      <w:r>
        <w:rPr>
          <w:b/>
        </w:rPr>
        <w:t>E. 2</w:t>
      </w:r>
    </w:p>
    <w:p>
      <w:r>
        <w:t>L'objet du litige consiste à déterminer si c'est à juste titre que l'intimé a supprimé, par décision du 30 avril 2008, le droit de la recourante à un quart de rente d'invalidité.</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w:t>
      </w:r>
    </w:p>
    <w:p>
      <w:r>
        <w:t>A/1991/2008 - 8/15 -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LPA) (let. b). Il y a interruption notable de l'incapacité de travail au sens de l'art. 29 al. 1 LAI lorsque l'assuré a été entièrement apte au travail pendant 30 jours consécutifs au moins (art. 29ter du règlement sur l'assurance invalidité du 17 janvier 1961 - RAI dans sa teneur en vigueur jusqu'au 31 décembre 2007). Selon l'art. 29bis RAI dans sa teneur en vigueur jusqu'au 31 décembre 2007,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w:t>
      </w:r>
    </w:p>
    <w:p>
      <w:r>
        <w:t>A/1991/2008 - 9/15 -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w:t>
      </w:r>
    </w:p>
    <w:p>
      <w:r>
        <w:t>A/1991/2008 - 10/15 -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A/1991/2008 - 11/15 -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w:t>
      </w:r>
    </w:p>
    <w:p>
      <w:r>
        <w:t>A/1991/2008 - 12/15 - consid. 4b), la jurisprudence rendue sous l'empire de l'art. 4 aCst. étant toujours valable (ATF 124 V 94 consid. 4b, 122 V 162 consid. 1d et l'arrêt cité).</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9</w:t>
      </w:r>
    </w:p>
    <w:p>
      <w:r>
        <w:t>Par arrêt du incident du 9 juillet 2008, le Tribunal de céans a constaté que, postérieurement à l'avis du SMR du 21 décembre 2005, le Dr U_________ a attesté le 12 avril 2006 que les lombalgies chroniques de la patiente étaient en aggravation ces derniers mois et que les douleurs au dos étaient aggravées par les mouvements. Le 6 septembre 2006, ce médecin a relevé que le bilan radiologique récent montrait une discopathie L5-S1 sous forme de pincement discal, à l'origine des douleurs, nécessitant un traitement par corset lombaire. En outre, le 4 avril 2008, le Dr M_________ a certifié que l'état de santé s'était aggravé en 2006, qu'une activité à 100 %, même adaptée, n'était pas possible en raison des lombalgies sur micro- instabilité ainsi que des autres pathologies et que des limitations fonctionnelles pouvaient survenir si la patiente envisageait une activité à 100 %. Or, l'avis du SMR, sur lequel s'est fondé l'OCAI, ne prend pas en compte l'aggravation de l'état de santé au niveau lombaire dès lors qu'il a été rendu en décembre 2005. Un pincement discal avait d'ailleurs été exclu par le SMR au vu du bilan radiologique au 7 décembre 1994 (rapport SMR p. 5 et 6). De surcroît, cet avis a fixé une</w:t>
      </w:r>
    </w:p>
    <w:p>
      <w:r>
        <w:t>A/1991/2008 - 13/15 - capacité de travail de 100 % dans une activité adaptée, tout en relevant que les atteintes somatiques ostéoarticulaires dûment documentées entraînaient des limitations fonctionnelles nombreuses, dans une certaine mesure difficilement conciliable vu la multiplicité des sites qui devaient être épargnés. En particulier, le Dr Q_________ a noté que la conjonction d'une atteinte au niveau lombaire et d'une atteinte significative au niveau des genoux était particulièrement péjorative puisque l'atteinte au niveau des genoux ne permettait pas la mise en application correcte des mesures d'ergonomie lombaire indispensables (rapport p. 7). Enfin, le 25 avril 2008, la Dresse T_________, du SMR, a finalement relevé qu'il s'agissait d'une évaluation différente d'un même état de fait et que l'on ne pouvait retenir maintenant une pleine capacité de travail exigible dans une activité adaptée et supprimer la rente comme cela avait été fait, opinion qui n'a pas été discutée du tout par l'OCAI. Selon un avis du Dr N_________ du 1er décembre 1997, médecin de l'OCAI, l'activité debout (prolongée) n'était plus possible en raison de l'atteinte de la cheville et mollet gauches et non pour la fibromyalgie. Le handicap social et professionnel en cas de fibromyalgie était de "peu variable" et dépendait en particulier des affections conjointes et de la motivation. Il fallait prévoir au départ une capacité de travail de 50 % dans une activité essentiellement assise. Cet avis était principalement fondé sur celui du Dr M_________ du 9 septembre 1996, lequel constatait une capacité de travail de 50 %, au début, dans une activité adaptée (travail assis) et peut-être totale si la fibromyalgie ne s'aggravait pas. Le Tribunal de céans a estimé qu'il ressort de ces différents avis médicaux qu'à l'époque de l'octroi d'un quart de rente d'invalidité, il avait été constaté une capacité de travail de 50 % dans une activité adaptée en raison des affections somatiques et d'une fibromyalgie, que dans le cadre de la procédure de révision, le SMR a constaté une aggravation objective de l'état de santé somatique tout en écartant le diagnostic de fibromyalgie, qu'il a estimé qu'une capacité de 100 % dans une activité adaptée était donnée, qu'il a néanmoins émis des doutes sur la capacité réelle de travail vu les nombreuses limitations de la recourante, que par la suite, soit en 2006, un diagnostic de discopathie sous forme de pincement discal à l'origine des douleurs lombaires et nécessitant le port d'un corset lombaire a été formellement posé, que le SMR a estimé en 2008, soit la Dresse T_________, qu'il s'agissait en réalité d'une appréciation différente d'un même état de fait laquelle ne pouvait entraîner la suppression de la rente d'invalidité, qu'enfin le Dr M_________ a récemment indiqué qu'une activité adaptée à 100 % n'était pas exigible, au vu de toutes les affections et notamment des lombalgies sur micro-instabilité nécessitant le port d'un corset lombaire depuis 2006. Qu'ainsi, au vu de ce qui précède, il apparaît que l'OCAI, au moment de rendre la décision de suppression de rente, n'a pas tenu compte de tous les éléments médicaux pertinents, notamment de l'aggravation alléguée par les médecins U_________ et M_________ de l'état de santé de la recourante, postérieurement à l'examen de celle-ci par le SMR en décembre 2005, de l'avis nuancé du SMR du 21</w:t>
      </w:r>
    </w:p>
    <w:p>
      <w:r>
        <w:t>A/1991/2008 - 14/15 - décembre 2005 quant à la réelle capacité de travail à 100 % de la recourante dans une activité adaptée, ainsi que de l'avis de la Dresse T_________ et celui du Dr M_________, de sorte que sa décision apparaît prématurée. En conséquence, un complément d'instruction par l'intimé est dans ces circonstances nécessaire, de sorte que la décision litigieuse doit être annulée et la cause renvoyée à l'intimé pour instruction complémentaire par le biais d'une expertise et nouvelle décision.</w:t>
      </w:r>
    </w:p>
    <w:p>
      <w:r>
        <w:rPr>
          <w:b/>
        </w:rPr>
        <w:t>E. 10</w:t>
      </w:r>
    </w:p>
    <w:p>
      <w:r>
        <w:t>Conformément à l'art. 69 al. 1bis LAI, entré en vigueur le 1er juillet 2006, qui prévoit qu'en dérogation à l'art. 61 let. a LPGA,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un émolument de 500 fr. sera mis à la charge de l'intimé.</w:t>
      </w:r>
    </w:p>
    <w:p>
      <w:r>
        <w:rPr>
          <w:b/>
        </w:rPr>
        <w:t>E. 11</w:t>
      </w:r>
    </w:p>
    <w:p>
      <w:r>
        <w:t>Une indemnité de 1'500 fr. sera allouée à la recourante, à charge de l'intimé.</w:t>
      </w:r>
    </w:p>
    <w:p>
      <w:r>
        <w:t>A/1991/2008 - 15/15 -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