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ATAS/1008/2015 vom 23. Dezember 2015</w:t>
      </w:r>
    </w:p>
    <w:p>
      <w:r>
        <w:t>GE Cour de justice, 2015-12-23, FR</w:t>
      </w:r>
    </w:p>
    <w:p>
      <w:r>
        <w:rPr>
          <w:b/>
        </w:rPr>
        <w:t xml:space="preserve">Quelle: </w:t>
      </w:r>
      <w:r>
        <w:t>https://mcp.opencaselaw.ch/entscheid/ge_gerichte_ATAS_1008_2015</w:t>
      </w:r>
    </w:p>
    <w:p>
      <w:r>
        <w:t>FR: GE_GERICHTE ATAS/1008/2015 du 23 décembre 2015</w:t>
      </w:r>
    </w:p>
    <w:p>
      <w:r>
        <w:t>IT: GE_GERICHTE ATAS/1008/2015 del 23 dicembre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 RAMA 4/1998 p. 316 consid. 3b).</w:t>
      </w:r>
    </w:p>
    <w:p>
      <w:r>
        <w:rPr>
          <w:b/>
        </w:rPr>
        <w:t>E. 3</w:t>
      </w:r>
    </w:p>
    <w:p>
      <w:r>
        <w:t>Interjeté dans les formes et délai prévus par la loi, le recours est recevable (art. 56 à 60 LPGA).</w:t>
      </w:r>
    </w:p>
    <w:p>
      <w:r>
        <w:rPr>
          <w:b/>
        </w:rPr>
        <w:t>E. 4</w:t>
      </w:r>
    </w:p>
    <w:p>
      <w:r>
        <w:t>Le litige se limite au point de savoir si l’intimé était fondé à refuser d’entrer en matière sur la nouvelle demande de prestations du recourant.</w:t>
      </w:r>
    </w:p>
    <w:p>
      <w:r>
        <w:rPr>
          <w:b/>
        </w:rPr>
        <w:t>E. 5</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w:t>
      </w:r>
    </w:p>
    <w:p>
      <w:r>
        <w:rPr>
          <w:b/>
        </w:rPr>
        <w:t>E. 6</w:t>
      </w:r>
    </w:p>
    <w:p>
      <w:r>
        <w:t>Lorsqu'elle est saisie d'une nouvelle demande, l'administration doit donc commencer par examiner si les allégations de l'assuré sont, d'une manière générale,</w:t>
      </w:r>
    </w:p>
    <w:p>
      <w:r>
        <w:t>A/1558/2015 - 6/9 -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7</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8</w:t>
      </w:r>
    </w:p>
    <w:p>
      <w:r>
        <w:t>L'exigence du caractère plausible de la nouvelle demande selon l'article 87 RAI ne renvoie pas à la notion de vraisemblance prépondérante usuelle en droit des assurances sociales. Les exigences de preuves sont, au contraire, sensiblement</w:t>
      </w:r>
    </w:p>
    <w:p>
      <w:r>
        <w:t>A/1558/2015 - 7/9 -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9</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10</w:t>
      </w:r>
    </w:p>
    <w:p>
      <w:r>
        <w:t>Il ressort de ce qui précède que la question qui se pose en l’occurrence est uniquement celle de savoir si le recourant, au moment de la décision litigieuse - soit le 30 mars 2015 - avait rendu plausible une aggravation de son état de santé survenue depuis le 10 octobre 2013. Force est de constater que jamais, avant sa réplique devant la Cour de céans, le recourant n’a produit le moindre rapport médical susceptible d’étayer une aggravation de son état, étant rappelé que jusqu’au 23 mars 2015, il n’avait pas même expliqué en quoi consistait l’aggravation invoquée. Ce n’est que le 23 mars 2015 que son avocat a fait état d’un tentamen, là encore, sans fournir le moindre élément objectif à l’appui de ses allégations. Si tentamen il y a eu, il doit pourtant y avoir trace d’une hospitalisation qu’il aurait été aisé au mandataire de produire. Quant à l’unique pièce médicale produite après la décision litigieuse, elle ne saurait être prise en compte pour procéder à l’évaluation de la situation,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w:t>
      </w:r>
    </w:p>
    <w:p>
      <w:r>
        <w:t>A/1558/2015 - 8/9 - Eu égard aux considérations qui précèdent, le recours est rejeté. Il demeure néanmoins loisible au recourant de saisir en tout temps l’administration d’une nouvelle demande de prestations s’il estime que les conditions en sont remplies, documents à l’appui.</w:t>
      </w:r>
    </w:p>
    <w:p>
      <w:r>
        <w:t>A/1558/2015 - 9/9 -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