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ATAS/1008/2010 vom 5. Oktober 2010</w:t>
      </w:r>
    </w:p>
    <w:p>
      <w:r>
        <w:t>GE Cour de justice, 2010-10-05, FR</w:t>
      </w:r>
    </w:p>
    <w:p>
      <w:r>
        <w:rPr>
          <w:b/>
        </w:rPr>
        <w:t xml:space="preserve">Quelle: </w:t>
      </w:r>
      <w:r>
        <w:t>https://mcp.opencaselaw.ch/entscheid/ge_gerichte_ATAS_1008_2010</w:t>
      </w:r>
    </w:p>
    <w:p>
      <w:r>
        <w:t>FR: GE_GERICHTE ATAS/1008/2010 du 5 octobre 2010</w:t>
      </w:r>
    </w:p>
    <w:p>
      <w:r>
        <w:t>IT: GE_GERICHTE ATAS/1008/2010 del 5 ottobre 2010</w:t>
      </w:r>
    </w:p>
    <w:p>
      <w:pPr>
        <w:pStyle w:val="Heading2"/>
      </w:pPr>
      <w:r>
        <w:t>Regeste</w:t>
      </w:r>
    </w:p>
    <w:p>
      <w:r>
        <w:t>Résumé: En matière d'assurance-vieillesse et survivants, l'obligation de payer des cotisations dépend, chez une personne qui exerce une activité lucrative, de la qualification du revenu touché (art. 5 et 9 LAVS). Le point de savoir si l'on a affaire, dans un cas donné, à une activité indépendante ou salariée, ne doit pas être tranché d'après la nature juridique du rapport contractuel liant les partenaires. Ce qui est déterminant, ce sont bien plutôt les circonstances économiques, l'indépendance quant à l'organisation du travail et du point de vue de l'économie de l'entreprise (risque économique). En l'espèce, l'activité exercée par l'assurée - qui a pour objet la certification et la validation de filières bio et/ou équitable par le biais d'audits effectués à l'étranger - revêt un caractère indépendant. En effet, il n'existe aucun lien de subordination organisationnelle entre l'assurée et son partenaire(absence d'instructions, absence de contrôle, rémunération fixée par l'assurée, pas de temps de travail imposé contractuellement, pas de contraintes-horaire, frais supportés dans une large mesure par l'assurée). Peu importe, par ailleurs, que l'assurée n'assume pas de risque financier important, puisque la nature même de l'activité exercée n'exige pas de faire des investissements financiers importants.</w:t>
      </w:r>
    </w:p>
    <w:p>
      <w:pPr>
        <w:pStyle w:val="Heading2"/>
      </w:pPr>
      <w:r>
        <w:t>Erwägungen</w:t>
      </w:r>
    </w:p>
    <w:p>
      <w:r>
        <w:rPr>
          <w:b/>
        </w:rPr>
        <w:t>E. 1</w:t>
      </w:r>
    </w:p>
    <w:p>
      <w:r>
        <w:t>Le Tribunal de céans a déjà examiné les questions de sa compétence et de la recevabilité du recours dans son arrêt incident du 31 mars 2009, de sorte qu’il n’y a pas lieu d’y revenir ici.</w:t>
      </w:r>
    </w:p>
    <w:p>
      <w:r>
        <w:t>A/558/2009 - 9/13 -</w:t>
      </w:r>
    </w:p>
    <w:p>
      <w:r>
        <w:rPr>
          <w:b/>
        </w:rPr>
        <w:t>E. 2</w:t>
      </w:r>
    </w:p>
    <w:p>
      <w:r>
        <w:t>Le litige porte sur le statut de cotisant de la recourante en raison de l’activité lucrative qu’elle a déployée pour l’appelée en cause.</w:t>
      </w:r>
    </w:p>
    <w:p>
      <w:r>
        <w:rPr>
          <w:b/>
        </w:rPr>
        <w:t>E. 3</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w:t>
      </w:r>
    </w:p>
    <w:p>
      <w:r>
        <w:t>A/558/2009 - 10/13 -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rPr>
          <w:b/>
        </w:rPr>
        <w:t>E. 4</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5</w:t>
      </w:r>
    </w:p>
    <w:p>
      <w:r>
        <w:t>En l'espèce, l’intimée estime que dans la mesure où la recourante était tenue de travailler neuf jours par mois pour l’appelée en cause et qu’elle n’a pas fait d’investissements importants, l’activité déployée l’était en tant que salariée, ce que conteste la recourante.</w:t>
      </w:r>
    </w:p>
    <w:p>
      <w:r>
        <w:t>A/558/2009 - 11/13 - L’appelée en cause, active dans la réalisation de textiles bio, a fait appel à la recourante pour la certification et la validation de filières bio et/ou équitables par le biais d’audits, effectués essentiellement en Inde et au Bangladesh. A cette fin, une convention cadre a été conclue le 18 février 2008, dans laquelle la recourante s’engage à exercer son activité neuf jours par mois pour l’appelée en cause. S’il est exact que la mention de neuf jours de travail par mois atteste d’une collaboration régulière entre les parties - élément allant dans le sens d’un statut de salariée - il n’en demeure pas moins que les explications fournies à cet égard par les parties lors de leur comparution personnelle apporte un tout autre éclairage à cette mention : il s’agissait d’une limite maximale fixée par la recourante compte tenu de sa disponibilité et non pas un temps de travail imposé par l’appelée en cause (procès- verbaux de comparution personnelle des 4 mai et 31 août 2010). Quoi qu’il en soit, on ne trouve dans le dossier aucun indice attestant d’un quelconque lien de subordination organisationnelle de la recourante vis-à-vis de l’appelée en cause. Il ressort en effet des explications fournies par la recourante, corroborées par les déclarations faites par l’appelée en cause par-devant le Tribunal de céans que la recourante exécute son mandat sans que l’appelée en cause ne lui donne d’instruction ou n’interfère dans son activité - l’appelée en cause ne maîtrisant d’ailleurs pas le domaine de spécialisation de la recourante - ; que la recourante organise pour ce faire librement son travail qu’elle exécute à l’étranger, sans devoir observer un horaire de travail déterminé. Son travail n’est pas contrôlé, ni en cours de mandat, ni à la fin de mandat. La recourante n’est ainsi pas subordonnée à l’appelée en cause. De surcroît, le principe de la rémunération à la journée ainsi que le tarif appliqué ont été fixés par la recourante, qui a également proposé le contenu des contrats individuels rédigés par l’appelée en cause. En outre, les notes d’honoraires adressées à l’appelée en cause ont été établies sur un papier à en-tête au nom de la recourante. Par ailleurs, il y a lieu de constater que la nature de l’activité exercée par la recourante n’exige pas d’investissements importants ou de faire appel à du personnel. Cela serait donc faire preuve d’arbitraire de juger le caractère dépendant ou indépendant de cette activité à la seule aune de ces deux critères. Cela étant, on constatera tout de même que la recourante doit engager et supporter une grande part des frais nécessaires à l’exercice de son activité (notamment téléphone, matériel informatique et frais de correspondance). En tout état de cause, la recourante exécute des mandats pour d’autres clients, qu’elle démarche et conseille en son propre nom et pour son propre compte ; la convention cadre conclue le 18 février 2008 ne prévoyant en outre pas de clause de non-concurrence. A cet égard, ce n’est pas tant la nature du rapport contractuel ou la possibilité juridique d’accepter le travail offert par plusieurs entreprises qui est déterminant, mais les données économiques effectives du cas concret. En l’occurrence, si l’appelée en cause devait mettre un terme, pour une raison ou une autre, à ses relations avec la recourante, on ne peut raisonnablement affirmer que la recourante se retrouverait</w:t>
      </w:r>
    </w:p>
    <w:p>
      <w:r>
        <w:t>A/558/2009 - 12/13 - dans une situation semblable à celle d’un salarié qui perd son emploi (cf. ATF 119 V 163 consid. 3b). On ajoutera que le fait que la recourante soit libre, dans le cadre des mandats proposés par l’appelée en cause, de les accepter ou de les refuser, constitue un indice supplémentaire de l’indépendance dont elle jouit dans son activité déployée pour cette société.</w:t>
      </w:r>
    </w:p>
    <w:p>
      <w:r>
        <w:rPr>
          <w:b/>
        </w:rPr>
        <w:t>E. 6</w:t>
      </w:r>
    </w:p>
    <w:p>
      <w:r>
        <w:t>Compte tenu de ce qui précède, force est de constater qu’il existe une accumulation prépondérante d’indices attestant l’existence d’une activité indépendante. La décision sur opposition qui refuse le statut d’indépendant pour l’activité déployée par la recourante pour l’appelée en cause est donc infondée.</w:t>
      </w:r>
    </w:p>
    <w:p>
      <w:r>
        <w:rPr>
          <w:b/>
        </w:rPr>
        <w:t>E. 7</w:t>
      </w:r>
    </w:p>
    <w:p>
      <w:r>
        <w:t>Le recours est admis et la décision sur opposition du 21 janvier 2008 (recte : 2009) est annulée en tant qu’elle retient un statut de salariée pour l’activité déployée par la recourante pour l’appelée en cause.</w:t>
      </w:r>
    </w:p>
    <w:p>
      <w:r>
        <w:t>A/558/2009 - 13/13 -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