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ATAS/1007/2020 vom 27. Oktober 2020</w:t>
      </w:r>
    </w:p>
    <w:p>
      <w:r>
        <w:t>GE Cour de justice, 2020-10-27, FR</w:t>
      </w:r>
    </w:p>
    <w:p>
      <w:r>
        <w:rPr>
          <w:b/>
        </w:rPr>
        <w:t xml:space="preserve">Quelle: </w:t>
      </w:r>
      <w:r>
        <w:t>https://mcp.opencaselaw.ch/entscheid/ge_gerichte_ATAS_1007_2020</w:t>
      </w:r>
    </w:p>
    <w:p>
      <w:r>
        <w:t>FR: GE_GERICHTE ATAS/1007/2020 du 27 octobre 2020</w:t>
      </w:r>
    </w:p>
    <w:p>
      <w:r>
        <w:t>IT: GE_GERICHTE ATAS/1007/2020 del 27 ottobre 2020</w:t>
      </w:r>
    </w:p>
    <w:p>
      <w:pPr>
        <w:pStyle w:val="Heading2"/>
      </w:pPr>
      <w:r>
        <w:t>Erwägungen</w:t>
      </w:r>
    </w:p>
    <w:p>
      <w:r>
        <w:rPr>
          <w:b/>
        </w:rPr>
        <w:t>E. 17</w:t>
      </w:r>
    </w:p>
    <w:p>
      <w:r>
        <w:t>décembre 2012, non signée, a été adressée à l’Ongle d’Or pour un poste de styliste ongulaire ; la neuvième, datée du 12 avril 2017, n’est ni signée ni ne spécifie le nom et l’adresse de l’employeur ; la dixième, datée du 3 mai 2017, adressée à Migros Genève, n’est pas signée ; la onzième, datée du 15 juin 2017 (à la main), n’est pas signée et ne précise pas le nom ni l’adresse de l’employeur.</w:t>
      </w:r>
    </w:p>
    <w:p>
      <w:r>
        <w:rPr>
          <w:b/>
        </w:rPr>
        <w:t>E. 19</w:t>
      </w:r>
    </w:p>
    <w:p>
      <w:r>
        <w:t>Dans sa duplique du 12 mars 2020, l’intimé a considéré qu’au vu des informations fournies par la recourante dans sa demande de prestations, dans son CV, lors de l’enquête ménagère, ainsi que dans le questionnaire relatif au statut, et conformément au principe dit « des premières déclarations ou des déclarations de la première heure », il fallait retenir dans le cas particulier un statut de ménagère pur. Il a rappelé que celle-ci était arrivée en Suisse à l’âge de 14 ans, qu’elle avait effectué une partie de sa formation publique puis une formation professionnelle dans ce pays, avant d’exercer plusieurs emplois. Il était, dans ce contexte, difficile d’envisager qu’elle n’ait pas compris les questions figurant dans le questionnaire précité. Il était par ailleurs invraisemblable, compte tenu des recherches d’emploi produites, peu nombreuses, datant de 2010, 2012 et 2017, et de l’absence d’autres preuves de postulations pendant une longue période précédant l’incapacité de travail attestée depuis août 2017, alors que ses enfants étaient depuis longtemps en âge de scolarité obligatoire, qu’elle aurait, sans atteinte à la santé, travaillé, d’autant moins à plein temps. En ce qui concernaient les empêchements dans le ménage, l’intimé a souligné qu’il n’existait aucun élément contradictoire entre les avis médicaux, y compris le</w:t>
      </w:r>
    </w:p>
    <w:p>
      <w:r>
        <w:t>A/3596/2019 - 11/24 - rapport d’examen du SMR, et le rapport d’enquête ménagère. Par ailleurs, aucun diagnostic psychique n’avait été posé par un spécialiste. Dans ces conditions, le rapport d’enquête précité, établi par une infirmière qualifiée ayant pris en considération les diagnostics retenus par les médecins, était probant. Enfin, après avoir réitéré que même dans l’hypothèse où l’on ne tenait pas compte de l’exigibilité des enfants, la recourante n’avait pas droit à une rente, l’intimé a indiqué qu’une expertise judiciaire était superflue, dès lors qu’elle n’apporterait pas d’éléments nouveaux importants pour l’évaluation des empêchements dans la tenue du ménage.</w:t>
      </w:r>
    </w:p>
    <w:p>
      <w:r>
        <w:rPr>
          <w:b/>
        </w:rPr>
        <w:t>E. 20</w:t>
      </w:r>
    </w:p>
    <w:p>
      <w:r>
        <w:t>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 art. 62 al. 1 de la loi sur la procédure administrative du 12 septembre 1985 [LPA - E 5 10]). Interjeté dans la forme et le délai prévus par la loi, le recours est recevable (art. 56 ss LPGA et 62 ss LPA), sous réserve de ce qui fait l’objet du considérant 4b. ci-dessous. 4. a. Le litige porte sur le point de savoir si la recourante peut prétendre une rente d’invalidité, singulièrement sur la détermination de son statut. b. La conclusion subsidiaire de la recourante, tendant à l’octroi de mesures de réadaptation professionnelle, est irrecevable, car elle sort de l’objet de la contestation, déterminé par la décision querellée, qui porte uniquement sur le droit à une rente d’invalidité. L’intimé n’a pas statué sur le droit auxdites mesures (cf. ATF 125 V 414 consid. 1a).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A/3596/2019 - 12/24 - la présence d’une incapacité de gain. De plus, il n’y a incapacité de gain que si celle-ci n’est pas objectivement surmontable (al. 2 en vigueur dès le 1er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8.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ainsi que toute activité artistique ou d’utilité publique (art. 8 al. 3 LPGA, auquel renvoie l’art. 5</w:t>
      </w:r>
    </w:p>
    <w:p>
      <w:r>
        <w:t>A/3596/2019 - 13/24 - al. 1 LAI ; art. 27 du règlement sur l’assurance-invalidité du 17 janvier 1961 [RAI - RS 831.201]).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ATAS/502/2017 du 20 juin 2017 consid. 4b). 9.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A/3596/2019 - 14/24 -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w:t>
      </w:r>
    </w:p>
    <w:p>
      <w:r>
        <w:t>A/3596/2019 - 15/24 -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9C_352/2014 du 14 octobre 2014). 11. En l’espèce, la recourante conteste le statut de non active retenu par l’intimé, alléguant que, sans atteinte à la santé, elle aurait travaillé à plein temps. La volonté hypothétique de la recourante doit cependant être confortée par des indices extérieurs qui doivent présenter un degré de vraisemblance prépondérante. Tel n’est pas le cas in casu. S’il est vrai que celle-ci a exercé des activités lucratives jusqu’en 2006, date à laquelle sont nées ses filles jumelles, elle est cependant femme au foyer depuis lors, pour pouvoir, selon ses dires, se consacrer pleinement à l’éducation de ses enfants, étant relevé qu’elle était déjà mère d’une fille, âgée de 8 ans et demi à la naissance des jumelles. Or, entre 2012 et le 31 juillet 2017, soit une période relativement longue (cinq ans environ) durant laquelle la recourante ne présentait pas une incapacité de travail médicalement attestée, et alors que l’âge des enfants, qui oscillait respectivement entre 15/19 ans (aînée) et 6/11 ans (jumelles), était compatible avec l’exercice d’une activité, du moins à temps partiel, puisque ces dernières étaient scolarisées, force est de constater que la recourante n’a pas démontré qu’elle avait recherché sérieusement un emploi, à tout le moins à 50 %. En effet, les pièces produites par la recourante à l’appui de sa réplique comprennent des lettres de motivation dépourvues de signature (celles d’août, d’octobre et de décembre 2012, et celles de 2017) et/ou de données relatives au potentiel employeur (celles d’août et de novembre 2012 et celles d’avril et de juin 2017 ne spécifient ni le nom ni l’adresse de celui-ci). Par ailleurs, elle n’a versé au dossier aucun courrier, ne serait-ce que de la part d’un employeur, l’informant que son offre d’emploi était déclinée. Dans ces circonstances, on peut se demander si la recourante avait réellement envoyé ses dossiers de candidature, d’autant plus qu’elle n’aurait pas manqué, si tel avait été le cas, de répondre par l’affirmative aux deux questions figurant dans le questionnaire relatif au statut, consistant à savoir si</w:t>
      </w:r>
    </w:p>
    <w:p>
      <w:r>
        <w:t>A/3596/2019 - 16/24 - elle avait entrepris des démarches concrètes pour une recherche d’emploi, et, si elle possédait les documents corroborant ses recherches. Or, elle avait répondu par la négative à ces deux questions. De toute manière, si on peut admettre que la lettre de motivation du 13 décembre 2012, adressée à Manor Chavannes-de-Bogies (dont l’adresse est indiquée), et signée, a été formulée en bonne et due forme, ce document, seul, ne suffit toutefois pas à conclure qu’elle avait activement recherché un emploi à temps partiel durant la période ici en cause. En outre, pendant ce laps de temps, bien qu’elle soit séparée, la recourante, assistée de l’Hospice général depuis le 1er septembre 2005, n’a pas allégué avoir été confrontée à une situation financière difficile du ménage. Dans le cas inverse, elle aurait procédé à la recherche active d’un emploi. Compte tenu de ces éléments, qui doivent l’emporter sur la déclaration d’intention de la recourante, c’est à juste titre que l’intimé lui a reconnu le statut de ménagère à 100 %. Il convient dès lors de déterminer si l’atteinte à la santé de la recourante, incapacitante depuis le 1er août 2017 selon la Dresse E______, médecin traitante, pèse sur sa capacité à exercer ses activités ménagères. 12.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ATF 128 V 93).</w:t>
      </w:r>
    </w:p>
    <w:p>
      <w:r>
        <w:t>A/3596/2019 - 17/24 -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arrêts du Tribunal fédéral des assurances I 249/04 du 6 septembre 2004 consid. 5.1.1 et I 155/04 du 26 juillet 2004 consid. 3.2). Aux conditions posées par la jurisprudence mentionnée ci-dessus (ATF 128 V 93), l’enquête sur les activités ménagères à laquelle procède l’administration a valeur probante (arrêt du Tribunal fédéral des assurances I 151/03 du 10 juin 2003 consid. 5.2).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et les références).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w:t>
      </w:r>
    </w:p>
    <w:p>
      <w:r>
        <w:t>A/3596/2019 - 18/24 -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a. En l’occurrence, compte tenu du statut de ménagère de la recourante, l’intimé a à juste titre mandaté une enquêtrice spécialisée pour déterminer ses empêchements à accomplir ses tâches ménagères par le biais d’une enquête économique sur le ménage. b. Il convient d’examiner la valeur probante du rapport d’enquête ménagère, et notamment si l’enquêtrice a eu connaissance des empêchements et des handicaps résultant des diagnostics médicaux. On rappellera que les empêchements d’accomplir les travaux ménagers doivent résulter d’atteintes à la santé, dont l’établissement relève de la compétence en principe de médecins, et les limitations</w:t>
      </w:r>
    </w:p>
    <w:p>
      <w:r>
        <w:t>A/3596/2019 - 19/24 - fonctionnelles en résultant doivent-elles aussi résulter d’avis médicaux clairs et convaincants, afin que l’enquêtrice en charge de l’enquête économique sur le ménage puisse en mesurer objectivement les effets concrets pour l’accomplissement des travaux habituels, et ce, du moins selon les circonstances, non simplement sur la base des déclarations qu’elle recueille sur place au domicile de l’assuré, mais aussi en fonction d’une observation de ce dernier (cf. ATAS/459/2016 du 14 juin 2016 consid. 6b). b/aa. In casu, l’enquêtrice, qui est une infirmière qualifiée, a, se référant au rapport d’examen du Dr F______ du 11 février 2019, indiqué l’atteinte dont souffre la recourante, soit des cervico-scapulalgies gauches non déficitaires dans le cadre d’une discopathie et d’une uncarthrose C4-C5 et C5-C6, et précisé avoir pris en compte les limitations fonctionnelles suivantes dans l’évaluation des empêchements ménagers : mouvements répétitifs de flexion-extension ou de rotation de la colonne cervicale, postures prolongées en flexion-extension de la colonne cervicale, port de charges au-delà de 10 kg, soulèvement de charges répétitives au-delà de l’horizontale de plus de 5 kg, et activité prolongée au-dessus de l’horizontale. La chambre de céans constate que, sur la base des pièces médicales au dossier ainsi que de son examen clinique (général, neurologique, ostéo-articulaire), le Dr F______, qui a également relaté les plaintes de la recourante, a expliqué les motifs pour lesquels il retenait le diagnostic susmentionné, et s’écartait de celui de cervico-brachialgies posé par la médecin traitante. Il a en effet observé que les douleurs signalées par la recourante, qui se situaient au niveau de la nuque et s’étendaient jusqu’à la région scapulaire gauche, n’irradiaient pas dans le membre supérieur, et que celle-ci n’avait aucune difficulté à élever les bras (rapport d’examen, p. 6). Il a ensuite énuméré toutes les limitations fonctionnelles à mettre objectivement en lien avec l’atteinte constatée. b/bb. Les arguments avancés par la recourante dans sa réplique ne permettent pas de s’écarter des conclusions du Dr F______ quant au diagnostic et aux limitations fonctionnelles retenus. En premier lieu, bien que l’examinateur, spécialiste en médecine physique et réadaptation, ne soit pas un rhumatologue, il n’en demeure pas moins qu’il a procédé à une appréciation circonstanciée du cas, permettant de comprendre ses conclusions, dûment motivées, qui ne laissent pas apparaître de contradictions et qui sont dès lors convaincantes. Au demeurant, dans son rapport du 16 décembre 2019, la Dresse E______, qui avait lu le rapport du Dr F______, n’a pas remis en cause l’appréciation de son confrère. Ensuite, le fait que l’intimé n’ait pas mis en œuvre une expertise au sens de l’art. 44 LPGA ne suffit pas à jeter le doute sur l’appréciation motivée du Dr F______, dont l’examen est fondé sur l’art. 49 al. 2 RAI, étant rappelé que la valeur probante d’un rapport d’examen du SMR est examinée conformément aux</w:t>
      </w:r>
    </w:p>
    <w:p>
      <w:r>
        <w:t>A/3596/2019 - 20/24 - réquisits jurisprudentiels généraux (cf. ATAS/1118/2019 du 21 novembre 2019 consid. 16), à l’instar d’un rapport d’expertise. À cet égard, c’est à tort que la recourante insinue que l’étude des pièces médicales aurait été incomplète, au motif que le Dr F______ ne disposait pas des clichés radiologiques. En effet, dans la mesure où celui-ci a résumé les rapports figurant au dossier, établis par les radiologues, qui se réfèrent eux-mêmes aux radiographies, IRM, et échographies effectuées, l’examinateur a pris connaissance des conclusions mises en évidence par toutes les imageries réalisées. Le fait que le Dr F______ ait retenu le diagnostic non incapacitant de fibromyalgie sans avoir pris en considération les indicateurs déterminants applicables aux troubles psychiques, développés par la nouvelle jurisprudence en lien avec les troubles somatoformes douloureux, n’est pas non plus de nature à discréditer ses conclusions quant aux limitations fonctionnelles retenues. C’est le lieu de rappeler que la fibromyalgie est une affection rhumatismale reconnue par l’Organisation mondiale de la santé (CIM-10 : M79.0), caractérisée par une douleur généralisée et chronique du système ostéo-articulaire et s’accompagnant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Or, il n’est pas question ici de déterminer le caractère, cas échéant, invalidant de la fibromyalgie à l’aune de tous les indicateurs jurisprudentiels (ATF 141 V 281 consid. 4). Dans le cadre de l’évaluation de l’invalidité selon la méthode spécifique, applicable in casu au vu du statut de ménagère, ce sont les limitations fonctionnelles causées par l’atteinte à la santé qui importent, afin que l’enquêtrice puisse en mesurer objectivement les effets concrets pour l’accomplissement des travaux habituels. À cet égard, l’examinateur a constaté que la présence de 8 points</w:t>
      </w:r>
    </w:p>
    <w:p>
      <w:r>
        <w:t>A/3596/2019 - 21/24 - sur 19 typiques de la fibromyalgie ne justifiait pas d’autres limitations fonctionnelles que celles déjà retenues, tout en soulignant que la recourante disposait de bonnes ressources physiques, dès lors qu’aux dires mêmes de celle-ci, elle se chargeait seule du ménage d’un appartement de 120 m2, à l’exception des chambres à coucher de ses deux filles, et qu’elle se rendait régulièrement au fitness. Pour ce même motif, l’appréciation divergente du Dr F______ et des médecins traitants quant à la capacité de travail de la recourante n’est pas déterminante, étant relevé que, de toute manière, selon la Dresse E______, celle-ci, malgré son atteinte à la santé, est en mesure d’accomplir ses tâches ménagères (cf. rapport du 28 septembre 2018). On rappellera que l’influence d’une pathologie déterminée n’est pas forcément identique selon le domaine d’activité (professionnel ou ménager) considéré (cf. arrêt du Tribunal fédéral 9C_352/2014 du 14 octobre 2014 consid. 3.1). b/cc. C’est également à tort que la recourante reproche à l’enquêtrice de n’avoir pas évalué ses empêchements dans ses activités habituelles en raison de troubles d’ordre psychique. À cet égard, le rapport du 27 janvier 2020 de Mme G______, psychologue, n’est pas pertinent, dans la mesure où elle n’est pas médecin. La chambre de céans doit en effet pouvoir s’appuyer sur des rapports de médecins pour pouvoir établir le droit à des prestations. Du reste, la psychologue n’indique pas que la recourante présenterait des restrictions psychiques qui l’entraveraient dans l’accomplissement de ses travaux ménagers. Quant à la Dresse E______, elle mentionne dans son rapport du 11 avril 2019 que le possible trouble anxio-dépressif, dont souffrirait sa patiente, n’a que peu de répercussions sur les activités de la vie quotidienne. Dans ces circonstances, l’enquêtrice n’était pas tenue d’apprécier les éventuels empêchements résultant de l’atteinte psychique, étant relevé que la recourante n’a consulté qu’une seule fois une psychiatre et une psychologue, qu’elle ne prend pas de médicament pour traiter ce trouble, et que l’emploi du terme « possible » par la médecin traitante laisse à penser qu’il ne s’agit pas d’un diagnostic certain. b/dd. Enfin, la recourante critique le rapport d’enquête, au motif que c’est un empêchement de 50 % qui aurait dû être retenu pour les postes « achat et courses diverses » et « alimentation ». On constate que l’enquêtrice a relaté les indications de la recourante concernant les tâches qu’elle accomplissait avant son atteinte à la santé, celles qu’elle continue à effectuer depuis lors, et celles qu’elle a dû déléguer à ses filles. S’agissant des achats et courses diverses − qui comprend les actes suivants selon chiffre 3087 de la Circulaire sur l’invalidité et l’impotence dans l’assurance-invalidité, établie par l’Office fédéral des assurances sociales, dans son état au 1er janvier 2018, applicable in casu (CIIAI) : courses quotidiennes et achats plus importants, poste, assurances, services officiels −, la recourante expose qu’elle</w:t>
      </w:r>
    </w:p>
    <w:p>
      <w:r>
        <w:t>A/3596/2019 - 22/24 - doit se rendre plusieurs fois dans la journée au magasin, car elle ne porte plus de charges lourdes. À cet égard, l’enquêtrice a indiqué que la recourante gérait ses tâches administratives et effectuait ses courses une fois par mois en France, comme auparavant. Elle faisait également des courses dans un commerce à proximité de son domicile, par contre deux à trois fois par semaine depuis son atteinte à la santé. Même si, comme l’allègue la recourante présentement, elle se déplace à plusieurs reprises par jour au supermarché, il n’y a pas de raison de s’écarter de l’empêchement de 0 %, dès lors que, même dans cette hypothèse, elle est toujours capable de faire ses courses, mais selon une planification différente. Il se justifie en effet d’exiger de la recourante, au regard de son obligation de diminuer le dommage, qu’elle remplisse ces tâches, moyennant une adaptation de ses méthodes de travail (cf. arrêt du Tribunal fédéral des assurances I 735/04 du 17 janvier 2006 consid. 6.5 et la référence). S’agissant de l’alimentation − qui comprend les actes suivants : préparer et cuire les aliments, servir les repas, nettoyer la cuisine au quotidien, faire des provisions (cf. CIIAI chiffre 3087) −, la recourante rappelle qu’elle ne prépare plus de desserts, ni de sauces. Ses filles étaient déjà autonomes lorsqu’elles vivaient en alternance chez leur mère et chez leur père. Elles faisaient la vaisselle et aidaient leur mère à nettoyer la cuisine lorsqu’elles étaient chez cette dernière. À cet égard, même en admettant, comme le souhaiterait la recourante, un empêchement de 50 % pour ce poste, au lieu de 0 % retenu par l’enquêtrice, son degré d’invalidité demeurerait inférieur au taux minimum de 40 % ouvrant le droit à une rente d’invalidité selon l’art. 28 al. 2 LAI. En effet, si l’on ne tenait pas compte de l’aide exigible des proches, l’empêchement pondéré pour ce poste serait de 15 % (soit 50 %, pondéré au regard de l’importance de ce poste prise en considération dans le cas d’espèce qui est de 30 % ; [50 % × 30 % = 15 %]). L’addition du résultat de chacune des autres catégories d’activités ménagères (qui ne prête pas le flanc à la critique) aboutit à un empêchement pondéré sans exigibilité de 36 % (15 % pour l’entretien du logement + 0 % pour les achats et les courses diverses, ainsi que pour les soins et l’assistance aux enfants qui ne vivent désormais plus chez leur mère + 6 % pour la lessive et l’entretien des vêtements), ce qui rejoint l’appréciation de la Dresse E______, selon laquelle l’atteinte à la santé de la recourante n’a que peu de répercussions sur ses travaux ménagers. Partant, l’enquête ménagère, hormis la modification précitée, cas échéant, qui n’a cependant aucune influence sur le degré d’invalidité de la recourante, conserve une pleine valeur probante. 15. Enfin, dans la mesure où les constatations de la médecin traitante ne diffèrent pour l’essentiel pas du contenu du rapport d’enquête, il n’y a pas lieu de faire procéder à une nouvelle estimation des empêchements que la recourante rencontre dans ses</w:t>
      </w:r>
    </w:p>
    <w:p>
      <w:r>
        <w:t>A/3596/2019 - 23/24 - activités habituelles (cf. arrêt du Tribunal fédéral des assurances I 308/04 et I 309/04 du 14 janvier 2005 consid. 6.3.1). Par conséquent, la mise sur pied d’une expertise judiciaire ne se justifie pas. 16. Au vu de ce qui précède, le recours, mal fondé, sera rejeté, et la recourante, condamnée au paiement d’un émolument, arrêté en l’espèce à CHF 200.- (art. 69 al. 1bis LAI). * * * * * *</w:t>
      </w:r>
    </w:p>
    <w:p>
      <w:r>
        <w:t>A/3596/2019 - 24/24 -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