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ATAS/1007/2008 vom 15. September 2008</w:t>
      </w:r>
    </w:p>
    <w:p>
      <w:r>
        <w:t>GE Cour de justice, 2008-09-15, FR</w:t>
      </w:r>
    </w:p>
    <w:p>
      <w:r>
        <w:rPr>
          <w:b/>
        </w:rPr>
        <w:t xml:space="preserve">Quelle: </w:t>
      </w:r>
      <w:r>
        <w:t>https://mcp.opencaselaw.ch/entscheid/ge_gerichte_ATAS_1007_2008</w:t>
      </w:r>
    </w:p>
    <w:p>
      <w:r>
        <w:t>FR: GE_GERICHTE ATAS/1007/2008 du 15 septembre 2008</w:t>
      </w:r>
    </w:p>
    <w:p>
      <w:r>
        <w:t>IT: GE_GERICHTE ATAS/1007/2008 del 15 settembre 2008</w:t>
      </w:r>
    </w:p>
    <w:p>
      <w:pPr>
        <w:pStyle w:val="Heading2"/>
      </w:pPr>
      <w:r>
        <w:t>Erwägungen</w:t>
      </w:r>
    </w:p>
    <w:p>
      <w:r>
        <w:rPr>
          <w:b/>
        </w:rPr>
        <w:t>E. 1</w:t>
      </w:r>
    </w:p>
    <w:p>
      <w:r>
        <w:t>a)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b)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demande de prestations a été déposée le 25 février 2007. La LPGA s’applique donc au cas d’espèce.</w:t>
      </w:r>
    </w:p>
    <w:p>
      <w:r>
        <w:t>A/1649/2008 - 7/15 - Tel est également le cas des modifications de la LAI du 21 mars 2003 (4ème révision), entrées en vigueur le 1er janvier 2004 (RO 2003 3852). En revanche, les modifications de la LAI du 6 octobre 2006 (5ème révision de la LAI), entrées en vigueur le 1er janvier 2008, n'ont pas à être prises en considération dans le présent litige, eu égard au principe selon lequel les règles applicables sont celles en vigueur au moment de la réalisation de l'état de fait dont les conséquences juridiques font l'objet de la décision (ATF 129 V 1 consid. 1.2 p. 4 et les arrêts cités).</w:t>
      </w:r>
    </w:p>
    <w:p>
      <w:r>
        <w:rPr>
          <w:b/>
        </w:rPr>
        <w:t>E. 2</w:t>
      </w:r>
    </w:p>
    <w:p>
      <w:r>
        <w:t>a) Le 1er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 un projet de décision en date du 11 janvier 2008, qui a été confirmé par la décision du 8 avril 2008, contre laquelle l'assurée a interjeté directement recours devant le Tribunal de céans le 7 mai 2008. c) Interjeté dans les forme et délai prévus par la loi, devant l'autorité compétente, le recours est en conséquence recevable (art. 56 ss LPGA).</w:t>
      </w:r>
    </w:p>
    <w:p>
      <w:r>
        <w:rPr>
          <w:b/>
        </w:rPr>
        <w:t>E. 3</w:t>
      </w:r>
    </w:p>
    <w:p>
      <w:r>
        <w:t>L'objet du litige porte sur le droit de la recourante à une rente d'invalidité ainsi qu'à des mesures d'ordre professionnel.</w:t>
      </w:r>
    </w:p>
    <w:p>
      <w:r>
        <w:rPr>
          <w:b/>
        </w:rPr>
        <w:t>E. 4</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5</w:t>
      </w:r>
    </w:p>
    <w:p>
      <w:r>
        <w:t>a) Depuis l'entrée en vigueur, le 1er janvier 2004, de la novelle du 21 mars 2003 modifiant la LAI (4ème révision) la teneur de l'art. 28 al. 1 LAI, valable jusqu'au 31</w:t>
      </w:r>
    </w:p>
    <w:p>
      <w:r>
        <w:t>A/1649/2008 - 8/15 - décembre 2007,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LPA) (let. b). Il y a interruption notable de l'incapacité de travail au sens de l'art. 29 al. 1 LAI lorsque l'assuré a été entièrement apte au travail pendant 30 jours consécutifs au moins (art. 29ter du règlement sur l'assurance invalidité du 17 janvier 1961 - RAI dans sa teneur en vigueur jusqu'au 31 décembre 2007). Selon l'art. 29bis RAI dans sa teneur en vigueur jusqu'au 31 décembre 2007,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29, al. 1, LAI, celle qui a précédé le premier octroi. Selon l'art. 88a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w:t>
      </w:r>
    </w:p>
    <w:p>
      <w:r>
        <w:rPr>
          <w:b/>
        </w:rPr>
        <w:t>E. 6</w:t>
      </w:r>
    </w:p>
    <w:p>
      <w:r>
        <w:t>a) Chez les assurés actifs, le degré d'invalidité doit être évalué sur la base d'une comparaison des revenus. Pour cela, le revenu que l'assuré aurait pu obtenir s'il</w:t>
      </w:r>
    </w:p>
    <w:p>
      <w:r>
        <w:t>A/1649/2008 - 9/15 -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t>A/1649/2008 - 10/15 - b) En matière d'assurance-invalidité, la longue période d'inactivité, l'âge ou l'absence de motivation ne constituent pas des atteintes à la santé à prendre en considération pour évaluer l'incapacité de travail ou de gain d'un assuré. Le fait que la personne concernée se considère comme invalide ne constitue pas davantage un critère. Il convient bien plutôt de se demander si, en raison d'atteintes à la santé, l'assuré ne dispose plus des ressources physiques et psychiques nécessaires à la reprise d'une activité professionnelle (ATFA du 5 décembre 2005 I 685/04).</w:t>
      </w:r>
    </w:p>
    <w:p>
      <w:r>
        <w:rPr>
          <w:b/>
        </w:rPr>
        <w:t>E. 7</w:t>
      </w:r>
    </w:p>
    <w:p>
      <w:r>
        <w:t>Selon l'art. 28 al. 2 LAI en corrélation avec les art. 7 et 16 LPGA, la réadaptation a la priorité sur la rente dont l'octroi n'entre en ligne de compte que si une réadaptation suffisante est impossible. Saisie d'une demande de rente ou appelée à se prononcer à l'occasion d'une révision de celle-ci, l'administration doit donc examiner d'office, avant toute chose, la question de la réintégration de l'assuré dans le circuit économique (ATF 108 V 210, 99 V 48). A cet égard,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(art. 8 al. 1 LAI). Celles-ci comprennent en particulier des mesures d'ordre professionnel (orientation professionnelle, formation professionnelle initiale, reclassement professionnel, service de placement) (art. 8 al. 3 let. b LAI). Le droit à une mesure de réadaptation déterminée de l'assurance- 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ou y mettre fin (arrêt I 370/98 du 26 août 1999, publié in VSI 2002 p. 111).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(arrêt I 397/87 du 15 janvier 1988, consid. 1 et la référence, publié in RCC 1988 p. 265). En outre, le seuil minimum fixé par la jurisprudence pour ouvrir droit à une mesure de reclassement est une diminution de la capacité de gain de 20 % environ (ATF 124 V 100). Selon l'art. 21 al. 4 LPGA (voir également l'art. 7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w:t>
      </w:r>
    </w:p>
    <w:p>
      <w:r>
        <w:t>A/1649/2008 - 11/15 -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(arrêt I 605/04 du 11 janvier 2005, consid. 2 et les références, publié in SVR 2005 IV n° 30 p. 113; voir également les arrêts I 265/05 du 3 octobre 2005, consid. 4, et I 485/04 du 16 décembre 2004, consid. 6.1; I 552/06 du 13 juin 2007).</w:t>
      </w:r>
    </w:p>
    <w:p>
      <w:r>
        <w:rPr>
          <w:b/>
        </w:rPr>
        <w:t>E. 8</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t>A/1649/2008 - 12/15 -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w:t>
      </w:r>
    </w:p>
    <w:p>
      <w:r>
        <w:t>A/1649/2008 - 13/15 -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9</w:t>
      </w:r>
    </w:p>
    <w:p>
      <w:r>
        <w:t>En l'espèce, l'expertise du Dr F_________ remplit toutes les exigences jurisprudentielles pour qu'il lui soit reconnu une pleine valeur probante. Elle tient compte des plaintes de l'assurée, est détaillée et clairement motivée. En conséquence, ses conclusions sont pleinement applicables, soit la reconnaissance d'une incapacité de travail totale de la recourante dans son ancienne activité de gouvernante depuis novembre 2005 et d'une capacité pleine et entière dans une activité adaptée à ses limitations fonctionnelles. A cet égard, l'expert a indiqué qu'une telle activité était exigible dès maintenant. A la demande du Tribunal de céans, il a précisé le 25 juillet 2008 que l'exigibilité était effective depuis toujours. Il y a ainsi lieu de reconnaître que la recourante aurait toujours pu exercer une activité adaptée à son handicap. La recourante fait valoir que selon les Drs A_________ et C_________, sa capacité de travail serait limitée à 60 % au maximum dans une activité adaptée. Le Dr C_________ a en effet indiqué le 1er juin 2007 qu'une activité adaptée était exigible de quatre à cinq heures par jour dès le 1er juillet 2007 et le Dr A_________ le 14 août 2007 qu'une telle activité pouvait être exercée à 60 %. Ces deux médecins, de surcroît médecins-traitants de la recourante, n'expliquent toutefois pas pour quelles raisons une activité adaptée ne pourrait être exercée à plus de 50 - 60 %. Par ailleurs, le Dr E_________, autre spécialiste ayant examiné la recourante, avait lui estimé le 17 juillet 2007 qu'une activité adaptée était exigible sans diminution de rendement, de sorte que les avis divergent des Drs C_________ et A_________ ne sont pas à même de mettre en doute les conclusions de l'expert F_________. Ainsi, il convient de retenir une capacité de travail de 100 % dans une activité adaptée, étant rappelé que les difficultés d'engagement liées à l'âge notamment constituent des risques ressortissant de l'assurance-chômage et non de l'assurance- invalidité (ATF du 26 novembre 2007, I 925/06).</w:t>
      </w:r>
    </w:p>
    <w:p>
      <w:r>
        <w:rPr>
          <w:b/>
        </w:rPr>
        <w:t>E. 10</w:t>
      </w:r>
    </w:p>
    <w:p>
      <w:r>
        <w:t>S'agissant du calcul du degré d'invalidité subit par la recourante, celle-ci reproche à l'intimé de n'avoir pas pris en compte les revenus prévus par le contrat type de travail pour les travailleurs de l'économie domestique à temps complet et à temps partiel du 30 mars 2004 du canton de Genève (J 1 50.03). A cet égard, la jurisprudence du Tribunal fédéral prévoit (par exemple ATF du 28 octobre 2005, I 321/05), comme l'a relevé l'intimé, que pour déterminer le revenu</w:t>
      </w:r>
    </w:p>
    <w:p>
      <w:r>
        <w:t>A/1649/2008 - 14/15 - avec et sans invalidité il est pris en compte les salaires statistiques selon les ESS. En conséquence, la fixation d'un revenu 2004 sans invalidité de 45'390 fr. n'est pas critiquable. En revanche, s'agissant du revenu d'invalide, si c'est à juste titre qu'il se fonde sur le salaire statistique 2004 correspondant à des activités simples et répétitives, tous domaines confondus, la déduction opérée de 15 %, vu la situation de la recourante, est manifestement insuffisante. En effet, celle-ci, âgée de presque soixante-deux ans au moment de la décision litigieuse, qui présente de surcroît de grandes difficultés à s'exprimer et à comprendre le français et des limitations fonctionnelles importantes liée à l'affection des genoux doit se voir appliquer une déduction de 25 %, de sorte que le revenu d'invalide est de 36'438 fr. 75 au lieu de 41'297 fr. aboutissant à un degré d'invalidité de 19,72 %, arrondi à 20 % (ATF 130 V 121).</w:t>
      </w:r>
    </w:p>
    <w:p>
      <w:r>
        <w:rPr>
          <w:b/>
        </w:rPr>
        <w:t>E. 11</w:t>
      </w:r>
    </w:p>
    <w:p>
      <w:r>
        <w:t>Compte tenu de ce résultat, la recourante n'a pas droit à une rente d'invalidité, le seuil du taux d'invalidité de 40 % n'étant pas atteint mais a droit à des mesures d'ordre professionnel, comme un reclassement. Vu l'âge de la recourante, il incombera à l'intimé de déterminer quelle mesure est la plus appropriée à sa situation, ladite mesure devant être appropriée au but de réadaptation, et étant encore précisé qu'en vertu de l'art. 21 al. 4 LPGA et 7 al. 1 LAI la recourante a un devoir de collaboration. Dans cette mesure, le recours sera partiellement admis et la décision litigieuse annulée en tant qu'elle refuse les mesures d'ordre professionnel et confirmée pour le surplus. Il sera dit que la recourante a droit à des mesures de réadaptation professionnelle au sens des considérants.</w:t>
      </w:r>
    </w:p>
    <w:p>
      <w:r>
        <w:rPr>
          <w:b/>
        </w:rPr>
        <w:t>E. 12</w:t>
      </w:r>
    </w:p>
    <w:p>
      <w:r>
        <w:t>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de l'intimé (art. 69 al. 1bis LAI) et une indemnité de 1'500 fr. allouée à la recourante à charge de l'intimé.</w:t>
      </w:r>
    </w:p>
    <w:p>
      <w:r>
        <w:t>A/1649/2008 - 15/15 -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