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ATAS/1006/2022 vom 17. November 2022</w:t>
      </w:r>
    </w:p>
    <w:p>
      <w:r>
        <w:t>GE Cour de justice, 2022-11-17, FR</w:t>
      </w:r>
    </w:p>
    <w:p>
      <w:r>
        <w:rPr>
          <w:b/>
        </w:rPr>
        <w:t xml:space="preserve">Quelle: </w:t>
      </w:r>
      <w:r>
        <w:t>https://mcp.opencaselaw.ch/entscheid/ge_gerichte_ATAS_1006_2022</w:t>
      </w:r>
    </w:p>
    <w:p>
      <w:r>
        <w:t>FR: GE_GERICHTE ATAS/1006/2022 du 17 novembre 2022</w:t>
      </w:r>
    </w:p>
    <w:p>
      <w:r>
        <w:t>IT: GE_GERICHTE ATAS/1006/2022 del 17 novembre 2022</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Les dispositions de la LPGA sont applicables aux assurances sociales régies par la législation fédérale, si et dans la mesure où les lois spéciales sur les assurances sociales le prévoient (art. 2 LPGA). L’art. 1 al. 2 LAMal prescrit que les dispositions de la LPGA ne s’appliquent pas à l’octroi de réductions de primes en vertu des art. 65, 65a et 66a (let. c). Par ailleurs, la loi d'application de la loi fédérale sur l'assurance-maladie du 29 mai 1997 (LaLAMal - J 3 05) ne prévoit pas davantage l’application de la LPGA.</w:t>
      </w:r>
    </w:p>
    <w:p>
      <w:r>
        <w:rPr>
          <w:b/>
        </w:rPr>
        <w:t>E. 3</w:t>
      </w:r>
    </w:p>
    <w:p>
      <w:r>
        <w:t>Le délai de recours est de trente jours (art. 62 al. 1 let. a de la loi sur la procédure administrative du 12 septembre 1985 [LPA - E 5 10] et art. 36 LaLAMal). Interjeté en temps utile, le recours est recevable.</w:t>
      </w:r>
    </w:p>
    <w:p>
      <w:r>
        <w:rPr>
          <w:b/>
        </w:rPr>
        <w:t>E. 4</w:t>
      </w:r>
    </w:p>
    <w:p>
      <w:r>
        <w:t>Le litige porte sur le point de savoir si c'est à bon droit que l'intimé a refusé d'entrer en matière sur la demande rétroactive de subsides de la recourante pour l’année 2019 au motif que celle-ci était tardive.</w:t>
      </w:r>
    </w:p>
    <w:p>
      <w:r>
        <w:rPr>
          <w:b/>
        </w:rPr>
        <w:t>E. 4.1</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w:t>
      </w:r>
    </w:p>
    <w:p>
      <w:r>
        <w:rPr>
          <w:b/>
        </w:rPr>
        <w:t>E. 4.2</w:t>
      </w:r>
    </w:p>
    <w:p>
      <w:r>
        <w:t>En l’espèce, la décision litigieuse porte sur le subside de l’assurance-maladie pour l’année 2019, de sorte que la LaLAMal et son règlement d'application (règlement d'exécution de la loi d'application de la loi fédérale sur l'assurance- maladie du 15 décembre 1997 [RaLAMal - J 3 05.01]) sont applicables dans leurs versions en vigueur au 31 décembre 2019. Ainsi la modification des art. 21 et 22 LaLAMal du 19 mai 2019, entrée en vigueur le 1er janvier 2020, n'est pas applicable à cet aspect du litige. Il en va de même de la modification des art. 11C al. 1 et 13B RaLAMal du 4 décembre 2019, entrée en vigueur le 1er janvier 2020.</w:t>
      </w:r>
    </w:p>
    <w:p>
      <w:r>
        <w:rPr>
          <w:b/>
        </w:rPr>
        <w:t>E. 4.3</w:t>
      </w:r>
    </w:p>
    <w:p>
      <w:r>
        <w:t>Selon l’art. 65 al. 1 et 3 LAMal (inchangé), les cantons accordent une réduction de primes aux assurés de condition économique modeste. Ils versent directement le montant correspondant aux assureurs concernés. Le Conseil fédéral</w:t>
      </w:r>
    </w:p>
    <w:p>
      <w:r>
        <w:t>A/751/2022 - 4/6 - peut faire bénéficier de cette réduction les personnes tenues de s'assurer qui n'ont pas de domicile en Suisse mais qui y séjournent de façon prolongée (al. 1). Les cantons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 n'aient pas à satisfaire à l'avance à leur obligation de payer les primes (al. 3). Les cantons informent régulièrement les assurés de leur droit à la réduction des primes (al. 4).</w:t>
      </w:r>
    </w:p>
    <w:p>
      <w:r>
        <w:rPr>
          <w:b/>
        </w:rPr>
        <w:t>E. 4.4</w:t>
      </w:r>
    </w:p>
    <w:p>
      <w:r>
        <w:t>Selon l’art. 19 al. 1 LaLAMal (inchangé) conformément aux art. 65 et suivants LAMal, l’État de Genève accorde aux assurés de condition économique modeste des subsides destinés à la couverture totale ou partielle des primes de l’assurance- maladie (al. 1).</w:t>
      </w:r>
    </w:p>
    <w:p>
      <w:r>
        <w:rPr>
          <w:b/>
        </w:rPr>
        <w:t>E. 4.5</w:t>
      </w:r>
    </w:p>
    <w:p>
      <w:r>
        <w:t>À teneur de l'art. 13A al. 1 et 5 du RaLAMal (inchangé), les personnes nouvellement assujetties à l'assurance obligatoire des soins dans le canton de Genève, domiciliées à l'étranger ou arrivant dans le canton, peuvent solliciter l'octroi de subsides par une demande écrite adressée au service ; les demandes doivent être adressées au service avant le 30 novembre de l'année d'ouverture du droit aux subsides.</w:t>
      </w:r>
    </w:p>
    <w:p>
      <w:r>
        <w:rPr>
          <w:b/>
        </w:rPr>
        <w:t>E. 4.6</w:t>
      </w:r>
    </w:p>
    <w:p>
      <w:r>
        <w:t>Selon l'art. 13B al. 1 à 4 RaLAMal (inchangé), les assurés non bénéficiaires de subsides et les assurés bénéficiant de subsides en application de l'art. 10B al. 3 du présent règlement dont la situation économique s’est durablement et notablement aggravée entre l’année de référence pour l’octroi des subsides et l’année d’ouverture du droit aux subsides peuvent solliciter l’octroi de ces derniers par une demande écrite adressée au service (al. 1). Est considérée comme durable l'aggravation intervenue depuis plus de six mois (al. 2). Est considérée comme notable l'aggravation qui engendre une diminution de 20 % ou plus du revenu déterminant calculé en application de l'al. 4 ci-dessous par rapport au revenu déterminant calculé en application de la loi sur le revenu déterminant unifié du 19 mai 2005 (al. 3). Dans ce cas, le droit aux subsides est calculé sur la base du revenu déterminant actualisé du groupe familial, établi conformément à la loi sur le revenu déterminant unifié du 19 mai 2005. Il naît le 1er janvier de l'année d'ouverture du droit aux prestations. Les limites de revenus fixées à l'art. 10B du présent règlement s'appliquent (al. 4).</w:t>
      </w:r>
    </w:p>
    <w:p>
      <w:r>
        <w:rPr>
          <w:b/>
        </w:rPr>
        <w:t>E. 4.7</w:t>
      </w:r>
    </w:p>
    <w:p>
      <w:r>
        <w:t>Selon l’art. 13B aRaLAMal (en vigueur jusqu’au 31 décembre 2019), les demandes doivent être adressées au service avant le 31 décembre de l’année d’ouverture du droit aux subsides. Toutefois, si l’aggravation de la situation financière se produit durant le deuxième semestre de l’année, le délai pour le dépôt d’une demande selon l’al. 1 court jusqu’au 30 juin de l’année suivante (al. 5).</w:t>
      </w:r>
    </w:p>
    <w:p>
      <w:r>
        <w:t>A/751/2022 - 5/6 -</w:t>
      </w:r>
    </w:p>
    <w:p>
      <w:r>
        <w:rPr>
          <w:b/>
        </w:rPr>
        <w:t>E. 4.8</w:t>
      </w:r>
    </w:p>
    <w:p>
      <w:r>
        <w:t>Selon l’art. 13B RaLAMal (en vigueur dès le 1er janvier 2020), les demandes doivent être adressées au service avant le 30 novembre de l’année d’ouverture du droit aux subsides. Toutefois, si l’aggravation de la situation financière se produit durant le deuxième semestre de l’année, le délai pour le dépôt d’une demande selon l’al. 1 court jusqu’au 30 juin de l’année suivante (al. 5). En l’occurrence, s’agissant de l’année 2019, à teneur de la législation précitée, l’intéressée devait s’adresser au SAM le 30 novembre 2019 au plus tard pour obtenir le subside de l’année 2019.</w:t>
      </w:r>
    </w:p>
    <w:p>
      <w:r>
        <w:rPr>
          <w:b/>
        </w:rPr>
        <w:t>E. 5</w:t>
      </w:r>
    </w:p>
    <w:p>
      <w:r>
        <w:t>En l’espèce, il n’est pas contesté que la recourante a adressé sa demande de subside 2019 en février 2021. Elle soutient ne pas avoir eu la possibilité de déposer sa demande avant, en raison de sa situation personnelle et du fait qu’elle avait subi un accident, ce qui a entraîné un changement au niveau de son salaire. Pour ces raisons, elle demande qu’une exception soit faite à son égard et que sa demande tardive soit acceptée. Bien que la chambre de céans puisse comprendre que la situation financière de la recourante est difficile et qu’elle a connu des vicissitudes pendant l’année 2017, ces éléments ne sont pas de nature à justifier une exception à la loi. La demande de subside pour l’année 2019 présentée en février 2021 est tardive et la décision de l’intimé ne prête pas le flanc à la critique. Compte tenu de ce qui précède, la chambre de céans n’a d’autre choix que de rejeter le recours.</w:t>
      </w:r>
    </w:p>
    <w:p>
      <w:r>
        <w:rPr>
          <w:b/>
        </w:rPr>
        <w:t>E. 6</w:t>
      </w:r>
    </w:p>
    <w:p>
      <w:r>
        <w:t>Pour le surplus, la procédure est gratuite (art. 89H al. 1 LPA par renvoi de l’art. 36 al 2 LaLAMal).</w:t>
      </w:r>
    </w:p>
    <w:p>
      <w:r>
        <w:t>A/751/2022 - 6/6 -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