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ATAS/1006/2019 vom 31. Oktober 2019</w:t>
      </w:r>
    </w:p>
    <w:p>
      <w:r>
        <w:t>GE Cour de justice, 2019-10-31, FR</w:t>
      </w:r>
    </w:p>
    <w:p>
      <w:r>
        <w:rPr>
          <w:b/>
        </w:rPr>
        <w:t xml:space="preserve">Quelle: </w:t>
      </w:r>
      <w:r>
        <w:t>https://mcp.opencaselaw.ch/entscheid/ge_gerichte_ATAS_1006_2019</w:t>
      </w:r>
    </w:p>
    <w:p>
      <w:r>
        <w:t>FR: GE_GERICHTE ATAS/1006/2019 du 31 octobre 2019</w:t>
      </w:r>
    </w:p>
    <w:p>
      <w:r>
        <w:t>IT: GE_GERICHTE ATAS/1006/2019 del 31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Si le délai, compté</w:t>
      </w:r>
    </w:p>
    <w:p>
      <w:r>
        <w:t>A/4278/2018 - 14/22 -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1ère phrase LPGA). Interjeté dans la forme et le délai prévus par la loi, le recours du 3 décembre 2018 contre la décision sur opposition du 31 octobre 2018 est recevable.</w:t>
      </w:r>
    </w:p>
    <w:p>
      <w:r>
        <w:rPr>
          <w:b/>
        </w:rPr>
        <w:t>E. 4</w:t>
      </w:r>
    </w:p>
    <w:p>
      <w:r>
        <w:t>Le litige porte sur le droit de la recourante à des prestations d’invalidité, singulièrement sur la détermination de son statut et sur l’exigibilité retenue dans l’enquête ménagère.</w:t>
      </w:r>
    </w:p>
    <w:p>
      <w:r>
        <w:rPr>
          <w:b/>
        </w:rPr>
        <w:t>E. 5</w:t>
      </w:r>
    </w:p>
    <w:p>
      <w:r>
        <w:t>À titre préalable, la Cour de céans relève que la violation du droit d’être entendu - pour autant qu’elle ne soit pas d’une gravité particulière - est réparée lorsque la partie lésée a la possibilité de s’exprimer devant une autorité de recours jouissant d’un plein pouvoir d’examen (ATF 127 V 431 consid. 3d/aa ; ATF 126 V 131 consid. 2b et les références). Partant, la question de savoir si l’intimé a violé le droit d’être entendue de la recourante en refusant de prolonger le délai pour faire valoir des observations avant la notification de la décision sujette à recours peut rester ouverte, dès lors que cette éventuelle violation peut de toute façon être considérée comme réparée dans le cadre de l’examen du recours, ce que la recourante admet au demeurant.</w:t>
      </w:r>
    </w:p>
    <w:p>
      <w:r>
        <w:rPr>
          <w:b/>
        </w:rPr>
        <w:t>E. 6</w:t>
      </w:r>
    </w:p>
    <w:p>
      <w:r>
        <w:t>a. Lorsqu’une rente a déjà été refusée une première fois par une décision entrée en force, notamment parce que le degré d’invalidité était insuffisant, la nouvelle demande doit être examinée sous l'angle de l'art. 17 LPGA, qui régit la révision de la rente d'invalidité. L’art. 17 al. 1 LPGA dispose que si le taux d’invalidité du bénéficiaire de la rente subit une modification notable, la rente est, d’office ou sur demande, révisée pour l’avenir, à savoir augmentée ou réduite en conséquence, ou encore supprimée.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(ATF 117 V 198 consid. 3b), qui</w:t>
      </w:r>
    </w:p>
    <w:p>
      <w:r>
        <w:t>A/4278/2018 - 15/22 - entraîne une modification notable du degré d'invalidité (ATF 133 V 545 consid. 6.1 et 7.1).</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ATF 114 V 310 consid. 3 c ; RAMA 1996 n° U 237 p. 36 consid. 3b).</w:t>
      </w:r>
    </w:p>
    <w:p>
      <w:r>
        <w:t>A/4278/2018 - 16/22 -</w:t>
      </w:r>
    </w:p>
    <w:p>
      <w:r>
        <w:rPr>
          <w:b/>
        </w:rPr>
        <w:t>E. 9</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b.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arrêt du Tribunal fédéral 9C_236/2009 du 7 octobre 2009 consid. 3 et 4, in SVR 2010 IV n° 11 p. 35). Chez les assurés qui n'exerçaient pas d'activité lucrative avant d'être atteints dans leur santé physique, mentale ou psychique et dont il ne peut être exigé qu'ils en exercent une, la méthode spécifique d'évaluation de l'invalidité est applicable (art. 28a al. 2 LAI en corrélation avec les art. 8 al. 3 LPGA, 5 al. 1 LAI et 27 du règlement du 17 janvier 1961 sur l’assurance-invalidité du 17 janvier 1961 [RAI - RS 831.201]).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par ailleurs ATF 131 V 51 consid. 5.1.2). c. Tant lors de l'examen initial du droit à la rente qu'à l'occasion d'une révision de celle-ci (art. 17 LPGA), il faut examiner sous l'angle des art. 4 et 5 LAI quelle méthode d'évaluation de l'invalidité il convient d'appliquer (art. 28a LAI, en corrélation avec les art. 27 ss RAI). Pour déterminer la méthode applicable au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(ATF 133 V 504 consid. 3.3 ; pour le cas des rentiers et des assurés qui ont pris une retraite anticipée, voir cependant arrêt du Tribunal fédéral 9C_9/2013 du 27 mars 2013 consid. 2.4 et la référence).</w:t>
      </w:r>
    </w:p>
    <w:p>
      <w:r>
        <w:t>A/4278/2018 - 17/22 -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141 V 15 consid. 3.1 ; ATF 137 V 334 consid. 3.2 ; ATF 125 V 146 consid. 2c ainsi que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11</w:t>
      </w:r>
    </w:p>
    <w:p>
      <w:r>
        <w:t>a. En l’espèce, il est rappelé que, dans le cadre de l’examen de la première demande de prestations déposée en 1999, l’intimé a reconnu à l’assurée un statut mixte et conclu, dans sa décision sur opposition du 14 décembre 2004, que l’intéressée ne présentait pas d’atteinte à la santé ayant valeur d’invalidité. Ces conclusions étaient basées sur les trois rapports d’expertise rendus les 21 février 2003, 29 janvier et 5 mars 2004. L’assurée se plaignait alors essentiellement de douleurs ostéo- articulaires, attribuées à une fibromyalgie. L’intimé est entré en matière sur la nouvelle demande du 24 avril 2017 et a admis qu’un changement notable des circonstances s’était produit depuis sa décision du</w:t>
      </w:r>
    </w:p>
    <w:p>
      <w:r>
        <w:rPr>
          <w:b/>
        </w:rPr>
        <w:t>E. 14</w:t>
      </w:r>
    </w:p>
    <w:p>
      <w:r>
        <w:t>décembre 2004, confirmée par arrêt du 9 novembre 2006. Il a considéré que la</w:t>
      </w:r>
    </w:p>
    <w:p>
      <w:r>
        <w:t>A/4278/2018 - 18/22 - recourante avait un statut de ménagère, puisqu’elle n’avait plus travaillé depuis 1998 alors que l’existence d’atteintes à la santé invalidantes n’était reconnue qu’à compter de mai 2015. b. La recourante conteste la méthode d’évaluation retenue et soutient qu’elle a été dans l’incapacité de travailler depuis 1998 en raison de son état de santé. 12. a. Conformément aux principes développés précédemment, il convient de se demander ce que la recourante aurait fait, jusqu’au prononcé de la décision litigieuse, soit jusqu’au 31 octobre 2018, si l'atteinte à la santé n'était pas survenue. b. Il ressort des faits de la cause que la recourante a constamment travaillé à partir de 1975 (hormis en 1979, deux mois en 1980, deux mois en 1983 et deux mois en 1984) ; de 1985 à 1998, elle a travaillé sans interruption pour le même employeur en qualité de vendeuse de chaussures à temps partiel. Suites aux naissances de ses enfants, en 1988 et 1994, elle a continué à exercer son activité lucrative, conciliant ainsi vie professionnelle, vie familiale et éducation. Ce n’est qu’en 1998 qu’elle a cessé de travailler, en raison des douleurs induites par la fibromyalgie, alors que ses enfants étaient âgées de 4 et 10 ans. En 2017, la situation financière de la famille s’est considérablement dégradée compte tenu du départ à la retraite de l’époux de la recourante, dont les revenus ont été divisés par plus de deux. La situation familiale ne faisait aucunement obstacle à ce que la recourante reprenne une activité puisque ses filles, majeures et en bonne santé, étaient indépendantes, même si la cadette vivait chez ses parents. Au niveau social, il est rappelé que la recourante a déclaré à l’infirmière chargée de l’enquête ménagère qu’elle appréciait son travail de vendeuse, qui lui permettait d’avoir une occupation hors de son domicile. Au vu de la situation professionnelle, personnelle, familiale et sociale de la recourante, la Cour de céans considère, au degré de la vraisemblance prépondérante requis, que l’intéressée aurait exercé une occupation lucrative si elle n’avait pas été atteinte dans sa santé en 2018. c. Le fait que la recourante n'a plus travaillé depuis 1998 et qu'elle n'a jamais émargé à l'assurance-chômage ou à l’Hospice général ne constituent pas des indices permettant de déterminer la conduite qu'elle aurait adoptée si elle n'avait pas été atteinte dans sa santé. Ces éléments ne doivent pas être interprétés comme la manifestation d'une volonté de ne pas travailler, mais bien plutôt comme une conséquence de son état maladif (cf. arrêt du Tribunal fédéral 9C_420/2009 du 24 novembre 2009 consid. 3.3). À cet égard, la Cour relève que l’état de santé de la recourante s’est continuellement aggravé depuis le prononcé de la décision initiale, en 2004. Ainsi, elle a été hospitalisée au CHUV en novembre 2005 en raison d’une probable crise convulsive généralisée et d'un état post critique prolongé (cf. rapport du CHUV du</w:t>
      </w:r>
    </w:p>
    <w:p>
      <w:r>
        <w:rPr>
          <w:b/>
        </w:rPr>
        <w:t>E. 19</w:t>
      </w:r>
    </w:p>
    <w:p>
      <w:r>
        <w:t>décembre 2005). En dépit du traitement médicamenteux alors instauré, et de son augmentation en avril 2006, suite à une probable crise partielle avec une généralisation secondaire (cf. rapport du CHUV du 19 avril 2006), la recourante a</w:t>
      </w:r>
    </w:p>
    <w:p>
      <w:r>
        <w:t>A/4278/2018 - 19/22 - été à nouveau hospitalisée en novembre 2006 en raison d’une crise plus importante avec une généralisation secondaire (cf. rapport du CHUV du 21 décembre 2006). En février 2011, le Dr H______ a fait état de crises épileptiques nocturnes quotidiennes, accompagnées de troubles neuropsychologiques et d’une fatigue importante (cf. rapport du Dr H______ du 25 février 2011). En 2013 et en 2014, l’intéressée a été examinée à l’unité d’EEG et d’exploration de l’épilepsie du service de neurologie des HUG. Ont en particulier été signalées des ruptures de contact survenant une fois tous les deux mois, étant précisé qu’elles se manifestaient auparavant deux fois par semaine, ainsi que des crises généralisées survenaient surtout la nuit, environ une fois tous les deux ans en raison d’une fatigue chronique. Une somnolence diurne excessive a été diagnostiquée (cf. rapport des HUG du 25 novembre 2014). À ces atteintes neurologiques se sont ajoutés des troubles neuropsychologiques, mis en évidence en janvier 2011, sous la forme de troubles attentionnels sévères, accompagnés de troubles mnésiques, dans le contexte d’une épilepsie alors résistante au traitement (cf. rapport de Mme G______ du 14 janvier 2011). Les spécialistes des HUG ont également noté que des troubles cognitifs, marqués par un déficit mnésique et attentionnel, s’étaient développés de manière concomitante aux ruptures de contact transitoires (cf. rapport des HUG du 28 juillet 2017). Ainsi, bien que ces troubles neuropsychologiques n’ont été confirmés qu’en janvier 2011, il ne fait aucun doute qu’ils ont commencé à se développer plusieurs années auparavant. D’ailleurs, la recourante a rapporté à Mme G______ des difficultés à se souvenir de numéros et de notions pourtant bien connues dans l’exercice de son métier durant les dernières années de travail (cf. rapport de Mme G______ du 14 janvier 2011). En outre, une polyarthrite rhumatoïde a été mise en évidence dès décembre 2016, des discopathies en mai 2017, puis une polyneuropathie périphérique des membres inférieurs dès juillet 2017 (cf. rapport du Dr E______ du 22 janvier 2018 et rapport d’IRM du 31 mai 2017). L’intéressée est également suivie au niveau psychique depuis le 29 mai 2015. Un trouble dépressif sévère récurrent a été diagnostiqué par la spécialiste qui a attesté d’une totale incapacité de travail depuis le début de son traitement (cf. rapport de la Dresse K______ du 26 février 2018). On relèvera encore que la recourante a subi plusieurs interventions. Elle a ainsi été opérée pour une thyroïdectomie totale en 2014, un canal carpien en 2016 et une maladie de la jonction pyélo-urétérale gauche en 2017 (cf. rapports des HUG des 5 mai 2014, 10 mars 2016 et 16 mars 2017, rapport de la Dresse F______ du 18 janvier 2018). Force est de constater que la situation médicale de la recourante s’est progressivement aggravée depuis 2005, ce qui conforte les allégations selon lesquelles elle n’a pas été en mesure de travailler depuis 1998. d. Le fait que la recourante a déposé sa seconde demande en 2017 seulement, vraisemblablement pour des raisons purement financières liées à la retraite de son mari, n’est pas relevant. Aucun élément ne laisse en effet transparaître que la recourante aurait volontairement privilégié l'accomplissement de ses tâches</w:t>
      </w:r>
    </w:p>
    <w:p>
      <w:r>
        <w:t>A/4278/2018 - 20/22 - ménagères et d'autres activités relevant davantage des loisirs et que, même en bonne santé, elle n'aurait pas exercé d'activité lucrative. On ne saurait donc retenir que la recourante s’est consacrée à l'entretien de son ménage par choix personnel, plutôt qu'en raison de ses problèmes de santé. e. La recourante prétend qu’elle aurait pu travailler à 100% compte tenu de la situation. La Cour de céans note cependant que l’intéressée a travaillé à temps partiel pendant de nombreuses années pour le même employeur, alors même qu’elle n’avait pas encore d’enfant, qu’elle était en bonne santé et âgée de moins 30 ans. En outre, dans le cadre de la première procédure, l’assurée n’a pas remis en cause le statut mixte admis par l’intimé et n’a pas soutenu qu’elle aurait travaillé à temps complet si sa santé le lui avait permis. 13. Eu égard à l’ensemble des considérations qui précèdent, il convient de reconnaître à la recourante un statut mixte, avec des parts dans les sphères professionnelle et ménagère identiques à ce qui prévalait avant le début de son incapacité de travail en 1998. 14. En vertu de la garantie du double degré de juridiction, qui a trait à la possibilité pour les citoyens de faire valoir leurs arguments devant deux autorités successives (arrêt du Tribunal fédéral 9C_975/2011 du 22 février 2012 consid. 3.2), la Cour de céans ne saurait procéder elle-même à la détermination du taux de l’activité professionnelle avant 1998, dès lors que les parties ne se sont pas du tout prononcées sur cette question, laquelle n’a pas non plus été débattue dans le cadre de la première procédure judiciaire. Il reviendra par conséquent à l’intimé d'instruire ces éléments de fait. Il se justifie donc de lui renvoyer la cause pour qu’il se détermine sur les parts dans les sphères ménagère et professionnelle, puis sur le degré d’invalidité de la recourante compte tenu d’un statut mixte. Dans ces conditions, il n'est pas nécessaire, à ce stade de la procédure, d'examiner les griefs de la recourante quant à l’exigibilité retenue à la charge de son époux et de sa fille dans l’enquête ménagère. Le recours est donc partiellement admis. La décision du 31 octobre 2018 est annulée en tant qu'elle retient un statut de ménagère. La cause est renvoyée à l'intimé pour qu’il se détermine sur le droit de la recourante à des prestations d’invalidité selon la méthode mixte et rende une nouvelle décision. 15. La recourante, représentée par un conseil et obtenant gain de cause, une indemnité de CHF 2'500.- lui sera accordée à titre de participation à ses frais et dépens (art. 61 let. g LPGA ; art. 89 H LPA ; art. 6 du règlement sur les frais, émoluments et indemnités en matière administrative du 30 juillet 1986 [RFPA - E 5 10.03]).</w:t>
      </w:r>
    </w:p>
    <w:p>
      <w:r>
        <w:t>A/4278/2018 - 21/22 - 16. Étant donné que, depuis le 1er juillet 2006, la procédure n'est plus gratuite (art. 69 al. 1bis LAI), au vu du sort du recours, il y a lieu de condamner l'intimé au paiement d'un émolument de CHF 500.-.</w:t>
      </w:r>
    </w:p>
    <w:p>
      <w:r>
        <w:t>A/4278/2018 - 22/22 -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