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ATAS/1006/2015 vom 23. Dezember 2015</w:t>
      </w:r>
    </w:p>
    <w:p>
      <w:r>
        <w:t>GE Cour de justice, 2015-12-23, FR</w:t>
      </w:r>
    </w:p>
    <w:p>
      <w:r>
        <w:rPr>
          <w:b/>
        </w:rPr>
        <w:t xml:space="preserve">Quelle: </w:t>
      </w:r>
      <w:r>
        <w:t>https://mcp.opencaselaw.ch/entscheid/ge_gerichte_ATAS_1006_2015</w:t>
      </w:r>
    </w:p>
    <w:p>
      <w:r>
        <w:t>FR: GE_GERICHTE ATAS/1006/2015 du 23 décembre 2015</w:t>
      </w:r>
    </w:p>
    <w:p>
      <w:r>
        <w:t>IT: GE_GERICHTE ATAS/1006/2015 del 23 dicembre 2015</w:t>
      </w:r>
    </w:p>
    <w:p>
      <w:pPr>
        <w:pStyle w:val="Heading2"/>
      </w:pPr>
      <w:r>
        <w:t>Erwägungen</w:t>
      </w:r>
    </w:p>
    <w:p>
      <w:r>
        <w:rPr>
          <w:b/>
        </w:rPr>
        <w:t>E. 1</w:t>
      </w:r>
    </w:p>
    <w:p>
      <w:r>
        <w:t>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A/322/2015 - 7/12 -</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bien-fondé de la décision de la SUVA de mettre un terme à sa prise en charge au 31 juillet 2014.</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t>A/322/2015 - 8/12 -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A/322/2015 - 9/12 -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w:t>
      </w:r>
    </w:p>
    <w:p>
      <w:r>
        <w:t>A/322/2015 - 10/12 - 193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11</w:t>
      </w:r>
    </w:p>
    <w:p>
      <w:r>
        <w:t>En l’espèce, la SUVA base son refus de prester au-delà du 31 juillet 2014 sur l’avis de son médecin d’arrondissement, avis que conteste le recourant qui le juge lacunaire et dénué de pertinence. Selon le Dr G______, les lésions pour lesquelles l’intervention a été pratiquée sont de type dégénératif puisqu’en raison de la conduite chirurgicale, il y a lieu d’admettre qu’il n’existait pas de véritable disjonction post-traumatique. La contusion du 14 février 2014 a tout au plus décompensé de façon temporaire un état préalable et ce, durant huit semaines, tout au plus. Il est vrai que la première IRM, en avril 2014, n’a montré ni fracture, ni contusion osseuse mais un remaniement de l’articulation acromio-claviculaire dont le radiologue a d’emblée indiqué qu’il était compatible avec une contusion ou une arthropathie. Quant au remaniement tendineux, il a souligné qu’il plaidait plutôt en faveur d’une arthropathie. Etait également signalé un lipome, antérieur à l’accident puisque, selon le rapport du Dr D______, cette masse était connue depuis plusieurs années. On relèvera également que l’opinion du Dr G______ selon laquelle on serait en présence de lésions dégénératives préexistantes est partagée par le Dr D______, puisque ce dernier a évoqué un « conflit exacerbé par la chute ».</w:t>
      </w:r>
    </w:p>
    <w:p>
      <w:r>
        <w:t>A/322/2015 - 11/12 - En revanche, la Dresse H______ - dont le recourant invoque l’avis - ne s’est à aucun moment exprimée sur la relation de causalité naturelle entre les lésions constatées et l’accident. Quant au Prof. I______, il n’est pas aussi affirmatif que le recourant veut bien le dire. En effet, ce médecin, dans son rapport, commence par relever que la radiographie de l’épaule pratiquée le 19 février 2014 n’a mis en évidence aucune fracture, que l’ultrasonographie n’a montré aucune lésion majeure de la coiffe des rotateurs, que le nouvel ultrason réalisé le 22 avril 2014 n’a pas mis en évidence de déchirure et que l’IRM du 9 avril 2014 n’a pas montré de lésion majeure, hormis la présence d’altérations au niveau de l’acromio-claviculaire « qui pourraient être la suite d’une contusion ». Ce faisant, il ne fait donc qu’émettre une hypothèse, écartée par le Dr G______ au motif qu’il n’y avait pas de véritable disjonction traumatique, ce que rien, dans le rapport du Prof. I______, ne vient infirmer. Dès lors, la supposition émise par le professeur selon laquelle la contusion à l’épaule « aurait pu amener à une lésion du long chef du biceps, laquelle a nécessité une arthroscopie » n’est pas suffisante pour établir, au degré de la vraisemblance prépondérante requis, que les effets délétères de la contusion ont perduré au-delà de huit semaines. A cet égard, on rappellera que le fait que le recourant ait été en pleine forme avant l'événement litigieux ne saurait à lui seul faire douter du bien-fondé de l’avis du Dr G______. En soulignant l'absence de douleurs antérieurement à l'accident, l'assuré tient en réalité un raisonnement fondé sur le principe «post hoc ergo propter hoc», lequel est impropre à établir un rapport de cause à effet entre un accident assuré et une atteinte à la santé (ATF 119 V 335 consid. 2b/bb p. 341). Eu égard à ce qui précède, on ne saurait considérer que des doutes suffisants subsistent au point de justifier la mise sur pied une expertise judiciaire. D’autant que, contrairement à ce que soutient le recourant, à ce stade, seule la question de la causalité naturelle est pertinente, non celle de sa capacité de travail ou de ses limitations. C’est donc à tort qu’il fait grief à l’intimée de ne pas avoir procédé à des investigations supplémentaires sur ces points. En conséquence, le recours est rejeté, étant rappelé que l’assureur-maladie a d’ores et déjà annoncé qu’il prendrait en charge l’intervention litigieuse.</w:t>
      </w:r>
    </w:p>
    <w:p>
      <w:r>
        <w:t>A/322/2015 - 12/12 -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