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ATAS/1005/2025 vom 17. Dezember 2025</w:t>
      </w:r>
    </w:p>
    <w:p>
      <w:r>
        <w:t>GE Cour de justice, 2025-12-17, FR</w:t>
      </w:r>
    </w:p>
    <w:p>
      <w:r>
        <w:rPr>
          <w:b/>
        </w:rPr>
        <w:t xml:space="preserve">Quelle: </w:t>
      </w:r>
      <w:r>
        <w:t>https://mcp.opencaselaw.ch/entscheid/ge_gerichte_ATAS_1005_2025</w:t>
      </w:r>
    </w:p>
    <w:p>
      <w:r>
        <w:t>FR: GE_GERICHTE ATAS/1005/2025 du 17 décembre 2025</w:t>
      </w:r>
    </w:p>
    <w:p>
      <w:r>
        <w:t>IT: GE_GERICHTE ATAS/1005/2025 del 17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Se pose en premier lieu la question de la légitimation active de la recourante, qui doit être examinée d’office (cf. ATF 110 V 347 consid. 1 ; arrêt du Tribunal fédéral 9C_40/2009 du 27 janvier 2010 consid. 3.2.1). Le point de savoir si une partie a la qualité pour agir (ou légitimation active) ou la qualité pour défendre (légitimation passive) - question qui est examinée d'office (cf. ATF 110 V 347 consid. 1 ; arrêt du Tribunal fédéral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125 III 82 consid. 1a). Le destinataire principal d’une décision est celui dont les droits et obligations sont fixés ou constatés dans cette décision (l’assuré à qui l’on alloue ou refuse des prestations ou dont on détermine les cotisations, p.ex.). Il est directement atteint par cette décision dans sa situation juridique et la reconnaissance de son intérêt digne de protection au recours ne prête que rarement à discussion (voir toutefois N 15 et N 18 ss) (CR LPGA-Métral, art. 59 N 23). 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w:t>
      </w:r>
    </w:p>
    <w:p>
      <w:r>
        <w:t>A/1536/2025 - 6/9 -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et les références).</w:t>
      </w:r>
    </w:p>
    <w:p>
      <w:r>
        <w:t>A/1536/2025 - 7/9 -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Les rentes complémentaires devaient s'ajouter à la rente principale et constituer un revenu de substitution pour l'assuré invalide en vue de lui permettre de subvenir à l'entretien de sa famille (arrêt du Tribunal fédéral 9C_915/2015 du 2 juin 2016 consid. 6.1 et les références).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w:t>
      </w:r>
    </w:p>
    <w:p>
      <w:r>
        <w:rPr>
          <w:b/>
        </w:rPr>
        <w:t>E. 2.2</w:t>
      </w:r>
    </w:p>
    <w:p>
      <w:r>
        <w:t>En l’espèce, la recourante n’est pas la titulaire du droit à la rente pour enfant qui lui est versée, lequel appartient uniquement à son père, qui est l’ayant droit principal du droit à une rente d’invalidité dont dépend la rente pour enfant. Les développements qui précèdent démontrent en effet que la rente complémentaire pour enfant constitue, avec la rente d'invalidité, une seule et même prestation. Peu importe, à cet égard, que l'enfant majeur ait la possibilité de demander que la rente pour enfant lui soit versée directement (cf. art. 71ter al. 3 RAVS par renvoi de l'art. 82 al. 1 RAI). En effet, conformément à la LAI et à la jurisprudence, le droit de l'enfant majeur au versement direct de la prestation complémentaire ne donne pas encore compétence pour recourir quant au principe et à l'étendue du droit en question. Il en résulte que la recourante n’a pas la légitimité pour recourir.</w:t>
      </w:r>
    </w:p>
    <w:p>
      <w:r>
        <w:rPr>
          <w:b/>
        </w:rPr>
        <w:t>E. 3</w:t>
      </w:r>
    </w:p>
    <w:p>
      <w:r>
        <w:t>Selon l'art. 9 de la loi sur la procédure administrative du 12 septembre 1985 (LPA ‑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w:t>
      </w:r>
    </w:p>
    <w:p>
      <w:r>
        <w:t>A/1536/2025 - 8/9 - L’on ne peut retenir en l’espèce que la recourante représentait son père, car ce dernier a indiqué à la chambre de céans qu’il n’était pas au courant du fait que sa fille avait fait recours. Elle lui avait dit qu’elle n’avait pas touché sa rente pendant une période et il avait demandé des renseignements à ce sujet à l’intimé pour avoir des informations à ce sujet.</w:t>
      </w:r>
    </w:p>
    <w:p>
      <w:r>
        <w:rPr>
          <w:b/>
        </w:rPr>
        <w:t>E. 4</w:t>
      </w:r>
    </w:p>
    <w:p>
      <w:r>
        <w:t>Au vu de ce qui précède, le recours doit être rejeté, sans qu’il y ait lieu de trancher le litige au fond. Il sera renoncé à la perception d’un émolument.</w:t>
      </w:r>
    </w:p>
    <w:p>
      <w:r>
        <w:t>A/1536/2025 - 9/9 -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