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ATAS/1005/2019 vom 31. Oktober 2019</w:t>
      </w:r>
    </w:p>
    <w:p>
      <w:r>
        <w:t>GE Cour de justice, 2019-10-31, FR</w:t>
      </w:r>
    </w:p>
    <w:p>
      <w:r>
        <w:rPr>
          <w:b/>
        </w:rPr>
        <w:t xml:space="preserve">Quelle: </w:t>
      </w:r>
      <w:r>
        <w:t>https://mcp.opencaselaw.ch/entscheid/ge_gerichte_ATAS_1005_2019</w:t>
      </w:r>
    </w:p>
    <w:p>
      <w:r>
        <w:t>FR: GE_GERICHTE ATAS/1005/2019 du 31 octobre 2019</w:t>
      </w:r>
    </w:p>
    <w:p>
      <w:r>
        <w:t>IT: GE_GERICHTE ATAS/1005/2019 del 31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56ss LPGA ; art. 62ss de la loi sur la procédure administrative du 12 septembre 1985 [LPA - E 5 10]).</w:t>
      </w:r>
    </w:p>
    <w:p>
      <w:r>
        <w:t>A/4192/2018 - 6/12 -</w:t>
      </w:r>
    </w:p>
    <w:p>
      <w:r>
        <w:rPr>
          <w:b/>
        </w:rPr>
        <w:t>E. 3</w:t>
      </w:r>
    </w:p>
    <w:p>
      <w:r>
        <w:t>La question litigieuse est de savoir si le recourant a droit à des prestations de l'assurance invalidité en raison de son atteinte à la santé, plus particulièrement à une rente d'invalidité et à des mesures professionnelles.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 ATF 117 V 400 consid. 4b et les arrêts cités). La réadaptation par soi-même est un aspect de l’obligation de diminuer le dommage et prime aussi bien le droit à une rente qu’à celui des mesures de réadaptation (art. 21 al. 4 LPGA).</w:t>
      </w:r>
    </w:p>
    <w:p>
      <w:r>
        <w:t>A/4192/2018 - 7/12 -</w:t>
      </w:r>
    </w:p>
    <w:p>
      <w:r>
        <w:rPr>
          <w:b/>
        </w:rPr>
        <w:t>E. 6</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A/4192/2018 - 8/12 -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A/4192/2018 - 9/12 -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137V210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En l'espèce, il n'est pas contesté que le recourant est incapable d’exercer son activité habituelle depuis le 13 mai 2017 en raison de l’atteinte à son bras gauche. Se basant sur le rapport du Dr G______ du 25 juillet 2018 et la décision de la SUVA du 26 juillet 2018, l'intimé considère que l’assuré a recouvré une pleine capacité dans une activité adaptée depuis le 28 août 2017, date à laquelle il a réintégré son apprentissage à 20%. Il se réfère également aux conclusions du SMR,</w:t>
      </w:r>
    </w:p>
    <w:p>
      <w:r>
        <w:t>A/4192/2018 - 10/12 - qui estime que le rapport d'ENMG du 28 juin 2018 montre des séquelles « beaucoup moins graves que prévu ». Le recourant invoque, quant à lui, l'impossibilité d'exercer l'activité de constructeur- métallique en raison d'une diminution importante de la force et de la sensibilité de sa main gauche suite à son accident et allègue que son employeur l'a licencié de ce fait. Il affirme vouloir reprendre une activité adaptée à son état. Il convient en premier lieu d’examiner la valeur probante des rapports médicaux figurant au dossier. S'agissant du rapport du Dr G______ du 25 juillet 2018, la Cour de céans relève qu'il s'agit d'une courte appréciation, peu détaillée, qui conclut à une absence de limitation fonctionnelle dans l'activité professionnelle, sans analyse médicale préalable. Tant la brièveté que le manque de motivation de ce rapport ont pour conséquence qu’on ne saurait lui reconnaître force probante. Quant à l’avis du SMR du 6 décembre 2018, force est de constater qu’il conclut à des « séquelles neurologiques beaucoup moins graves que prévu » sans explication aucune à l’appui de cette constatation. Qui plus est, cette appréciation est mise à mal par les conclusions du rapport d'ENMG du 28 juin 2018 qui constate « des signes neurographiques d'atteinte complète des fibres sensitives et d'atteinte partielle des fibres motrices du nerf ulnaire gauche ». À défaut d'être sérieusement motivée, l’avis du SMR, en tant qu’il diverge des constatations cliniques, ne saurait lui non plus emporter la conviction de la Cour de céans, d’autant que, pas plus que le rapport du Dr G______, l'avis du SMR ne repose sur des observations cliniques auxquelles l'un des médecins aurait personnellement procédé. Or, l'existence d'une capacité de travail entière dans une activité adaptée depuis le 28 août 2017 n'est pas corroborée par les observations des médecins traitants. Les docteurs C______, D______, E______, F______, I______ et J______ ne se sont prononcés ni sur les limitations fonctionnelles de l'intéressé, ni sur sa capacité de travail résiduelle dans une activité adaptée. Le rapport d'ENMG ne précise pas non plus les répercussions possibles des atteintes constatées sur l'activité professionnelle du recourant. Si ce dernier a repris, de manière progressive, son activité habituelle (à 20%) le 28 août 2017, on ne saurait nullement en déduire, comme l'a fait l'intimé, qu'il a recouvré sa pleine capacité de travail dans une activité adaptée. Le Dr H______ a pour sa part mis en doute la pleine capacité de travail de son patient. Il ne fait cependant état d'aucun diagnostic, ni d’aucune limitation précise, de sorte qu’il est clairement insuffisant pour établir l’existence d’une atteinte incapacitante de l'intéressé et se déterminer sur la capacité de ce dernier à exercer une activité adaptée. En l'absence d'analyse complète et probante de la situation médicale du recourant, les rapports versés à la procédure ne permettant pas à la Cour de céans de déterminer les limitations fonctionnelles et la capacité de travail résiduelle du</w:t>
      </w:r>
    </w:p>
    <w:p>
      <w:r>
        <w:t>A/4192/2018 - 11/12 - recourant, que ce soit dans son activité habituelle ou dans une activité adaptée, la cause est renvoyée à l'intimé pour instruction complémentaire sur ces points par la mise en œuvre d'une investigation médicale sous la forme d'une expertise neurologique conduite par un expert indépendant au sens de l'art. 44 LPGA. A l'issue de cette instruction, l'intimé rendra, dans les meilleurs délais, une nouvelle décision quant aux droits du recourant à une rente d'invalidité et à des mesures professionnelles. Au vu de ce qui précède, le recours est admis partiellement et la décision du 6 novembre 2018 annulée. La cause est renvoyée à l'intimé pour instruction complémentaire au sens des considérants qui précèdent. Etant donné que, depuis le 1er juillet 2006, la procédure n'est plus gratuite (art. 69 al. 1bis LAI), au vu du sort du recours, il y a lieu de condamner l'intimé au paiement d'un émolument de CHF 200.-.</w:t>
      </w:r>
    </w:p>
    <w:p>
      <w:r>
        <w:t>A/4192/2018 - 12/12 -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