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ATAS/1005/2014 vom 12. September 2014</w:t>
      </w:r>
    </w:p>
    <w:p>
      <w:r>
        <w:t>GE Cour de justice, 2014-09-12, FR</w:t>
      </w:r>
    </w:p>
    <w:p>
      <w:r>
        <w:rPr>
          <w:b/>
        </w:rPr>
        <w:t xml:space="preserve">Quelle: </w:t>
      </w:r>
      <w:r>
        <w:t>https://mcp.opencaselaw.ch/entscheid/ge_gerichte_ATAS_1005_2014</w:t>
      </w:r>
    </w:p>
    <w:p>
      <w:r>
        <w:t>FR: GE_GERICHTE ATAS/1005/2014 du 12 septembre 2014</w:t>
      </w:r>
    </w:p>
    <w:p>
      <w:r>
        <w:t>IT: GE_GERICHTE ATAS/1005/2014 del 12 settembre 2014</w:t>
      </w:r>
    </w:p>
    <w:p>
      <w:pPr>
        <w:pStyle w:val="Heading2"/>
      </w:pPr>
      <w:r>
        <w:t>Erwägungen</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2007, et, après le 1er janvier 2008,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Le délai de recours est de 30 jours (art. 60 al. 1 LPGA). La décision litigieuse date du 17 octobre 2013. Le recours ayant été interjeté le 23 janvier 2014, il convient d’examiner dans un premier temps sa recevabilité. L’article 46 al. 2 LPA précise que les décisions sont notifiées aux parties, le cas échéant à leur domicile élu auprès de leur mandataire, par écrit. En effet, une notification faite directement au destinataire de la décision est de nul effet si ce dernier avait informé l’autorité qu’il avait un représentant (ATF 110 V 391 ; ATAS/624/2008 du 27 mai 2008). Selon les termes de l’article 47 LPA, une notification irrégulière ne peut entraîner aucun préjudice pour les parties, notamment lorsque le vice peut être réparé sans dommage pour elles (Droit administratif, volume II, Pierre MOOR, Staempfli Editions SA Berne, p. 304, 2002). La jurisprudence n’attache pas nécessairement la nullité à l’existence de vices dans la notification ; la protection des parties est suffisamment réalisée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s’impose de s’en tenir aux règles de la bonne foi, qui imposent</w:t>
      </w:r>
    </w:p>
    <w:p>
      <w:r>
        <w:t>A/225/2014 - 22/31 - une limite à l’invocation d’un vice de forme (RAMA 1997 p. 445, ATFA du 23 avril 2003 en la cause U. 222/02 et ATFA du 15 avril 2002 en la cause C. 331/01). En l’espèce, l’intimé était au courant depuis le 9 septembre 2011, respectivement le</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w:t>
      </w:r>
    </w:p>
    <w:p>
      <w:r>
        <w:t>A/225/2014 - 23/31 -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L'appréciation de la situation médicale d'un assuré ne se résume pas à trancher, sur la base de critères formels, la question de savoir quel est parmi les rapports médicaux versés au dossier celui qui remplit au mieux les critères jurisprudentiels</w:t>
      </w:r>
    </w:p>
    <w:p>
      <w:r>
        <w:t>A/225/2014 - 24/31 - en matière de valeur probante, puis à s'en approprier les conclusions. Si la provenance et la qualité formelle sont des facteurs permettant de pondérer la portée de différents rapports médicaux, seul leur contenu matériel permet de porter un jugement valable sur le droit litigieux. Un rapport médical ne saurait être écarté pour la simple et unique raison qu'il émane du médecin traitant. De même, le simple fait qu'un certificat médical est établi à la demande d'une partie et produit pendant la procédure ne justifie pas, en soi, des doutes quant à sa valeur probante. Ainsi, une expertise présentée par une partie peut également valoir comme moyen de preuve. En conséquence, l'administration ou le juge est tenu d'examiner dans le détail chaque pièce médicale versée au dossier et d'indiquer, même succinctement, les raisons qui le conduisent à retenir tel avis médical plutôt que tel autre (arrêt du Tribunal fédéral 9C_853/2011 du 27 juin 2012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w:t>
      </w:r>
    </w:p>
    <w:p>
      <w:r>
        <w:rPr>
          <w:b/>
        </w:rPr>
        <w:t>E. 10</w:t>
      </w:r>
    </w:p>
    <w:p>
      <w:r>
        <w:t>En l’espèce, sont seuls contestés les degrés d’invalidité entre le 1er septembre 2008 et le 31 mai 2012 (avant réadaptation) et à compter du 1er juin 2012 (après réadaptation). La chambre de céans limitera donc son examen à ces périodes. (a) Degré d’invalidité avant réadaptation : C’est à juste titre que l’intimé s’est référé aux statistiques pour déterminer les revenus avec et sans invalidité. La recourante n’exerce en effet pas d’activité professionnelle depuis son accident et le salaire d’appoint qu’elle réalisait alors, parallèlement à ses études, n’est pas représentatif de celui qu’elle aurait pu vraisemblablement obtenir à l’issue de sa formation. De la même manière, c’est à juste titre qu’il s’est référé au niveau de qualification 3 du TA7 puisque tout laisse à penser que la recourante aurait mené à terme avec succès sa formation à la Haute école de gestion en informatique de gestion – voie professionnelle donnant accès à l’analyse, à la programmation et à l’exploitation informatique. Le TA7, indiquant le salaire mensuel brut moyen selon le domaine d’activité et le niveau des qualifications requises pour le poste de travail et le sexe, plus particulièrement son chiffre 29 (analyse, programmation et « operating ») permet en effet de déterminer au plus près de la réalité ce qu’aurait été le salaire de la recourante sans atteinte à sa santé. Quant au niveau de qualification 3 (correspondant à des connaissances professionnelles et techniques), il paraît en effet plus approprié que le niveau 2 (travail indépendant et très qualifié), qui devrait être réservé à quelqu’un disposant d’une longue expérience. Le revenu avant invalidité obtenu par l’intimé (soit CHF 80'234.-) - au demeurant plus favorable à la recourante que celui auquel aurait conduit l’application du TA1, ch. 70-74, niveau 3 (5'673.- CHF/mois) - peut donc être avalisé.</w:t>
      </w:r>
    </w:p>
    <w:p>
      <w:r>
        <w:t>A/225/2014 - 29/31 - Quant au revenu après invalidité mais avant réadaptation, il doit être fixé en se basant sur le TA1 de l’ESS 2008, ce qui conduit au montant de CHF 25'684.- retenu par l’intimé (TA1, niveau 4, total, « femmes » = CHF 4'116.- pour 40h./sem. en 2008 = CHF 4'281.65 pour 41,6h./sem. en 2008 = CHF 51'367.68 en 2008 à 100% = CHF 25'683.84 à 50%). Ainsi que le fait remarquer l’intimé, il n’y a pas lieu d’appliquer une réduction supplémentaire au revenu d’invalide dans la mesure où l’assurée est jeune, où ses limitations fonctionnelles ont été prises en compte dans la détermination du taux d’activité et où aucune autre circonstance permettant de justifier une réduction n’est réalisée. La comparaison des deux montants ainsi déterminés conduit à un degré d’invalidité de 67,99% ouvrant droit à un trois quarts de rente pour la période du 1er septembre 2008 au 31 mai 2012. Sur ce point, la décision de l’intimé est donc confirmée et le recours rejeté. (b) Degré d’invalidité après réadaptation : Le Dr L______ ayant conclu à deux capacités de travail différentes selon l’activité hypothétiquement exercée, il convient de ne retenir que l’hypothèse de l’activité la mieux adaptée, eu égard à l’obligation de l’assurée de réduire le dommage qu’elle subit. Il conviendra de se référer aux statistiques de l’année 2010, celles de l’année 2012 n’étant pas encore connues. S’agissant du revenu avant invalidité, les remarques formulées ci-dessus s’appliquent mutatis mutandis. Il convient donc de se référer au TA7, niveau 3, ch. 29 (analyse, programmation et « operating »), ce qui conduit à un revenu avant invalidité de CHF 84'490 (6'770.- CHF/mois pour 40h./sem. = 7'040.80 CHF/mois pour 40,6h./sem. = 84'489.60 CHF/an). Quant au revenu après invalidité et après réadaptation, il doit être fixé en se basant sur le TA1 de l’ESS 2010 puisque l’activité adaptée telle que décrite par le SMR et le Dr L______ (non intellectuelle, simple, répétitive, manutentionnaire) n’a pas été déterminée avec exactitude. On ne saurait donc ici se reporter au TA7. Si l’on se base sur l’ESS 2010, on obtient un revenu de CHF 26'364.- à 50% (TA1, niveau 4, total, « femmes » = CHF 4'225.- pour 40h./sem. en 2010 = CHF 4'394.- pour 41,6h./sem. en 2010 = CHF 52'728.- en 2010 à 100%) Une fois encore, il n’y a pas lieu d’appliquer une réduction supplémentaire au revenu d’invalide. La comparaison des deux montants ainsi déterminés conduit à un degré d’invalidité de 68.8% ouvrant droit à un trois quarts de rente pour la période postérieure au 31 mai 2012.</w:t>
      </w:r>
    </w:p>
    <w:p>
      <w:r>
        <w:t>A/225/2014 - 30/31 - Sur ce point, la décision de l’intimé est donc annulée et le recours partiellement admis. Au vu de ce qui précède, le recours est partiellement admis et la décision du 17 octobre 2013 corrigée en ce sens que la recourante se voit reconnaître le droit à un trois-quarts de rente pour la période postérieure au 31 mai 2012 également. La recourante obtenant partiellement gain de cause, une indemnité de CHF 2'000.- lui sera accordée à titre de participation à ses frais et dépens, le recours déposé étant complet, motivé en fait et en droit (art. 61 let. g LPGA). Depuis le 1er juillet 2006, la procédure n'est plus gratuite (art. 69 al. 1bis LAI). Un émolument de justice fixé à CHF 200.- est mis à la charge de l’intimé.</w:t>
      </w:r>
    </w:p>
    <w:p>
      <w:r>
        <w:t>A/225/2014 - 31/31 - PAR CES MOTIFS, LA CHAMBRE DES ASSURANCES SOCIALES :</w:t>
      </w:r>
    </w:p>
    <w:p>
      <w:r>
        <w:t>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