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ATAS/1004/2021 vom 27. September 2021</w:t>
      </w:r>
    </w:p>
    <w:p>
      <w:r>
        <w:t>GE Cour de justice, 2021-09-27, FR</w:t>
      </w:r>
    </w:p>
    <w:p>
      <w:r>
        <w:rPr>
          <w:b/>
        </w:rPr>
        <w:t xml:space="preserve">Quelle: </w:t>
      </w:r>
      <w:r>
        <w:t>https://mcp.opencaselaw.ch/entscheid/ge_gerichte_ATAS_1004_2021</w:t>
      </w:r>
    </w:p>
    <w:p>
      <w:r>
        <w:t>FR: GE_GERICHTE ATAS/1004/2021 du 27 septembre 2021</w:t>
      </w:r>
    </w:p>
    <w:p>
      <w:r>
        <w:t>IT: GE_GERICHTE ATAS/1004/2021 del 27 settembre 2021</w:t>
      </w:r>
    </w:p>
    <w:p>
      <w:pPr>
        <w:pStyle w:val="Heading2"/>
      </w:pPr>
      <w:r>
        <w:t>Erwägungen</w:t>
      </w:r>
    </w:p>
    <w:p>
      <w:r>
        <w:rPr>
          <w:b/>
        </w:rPr>
        <w:t>E. 25</w:t>
      </w:r>
    </w:p>
    <w:p>
      <w:r>
        <w:t>juin 2021 par écritures des 29 juillet, respectivement 12 juillet, l’intimée produisant en outre un nouveau rapport du Dr C______, daté du 7 juillet 2021.</w:t>
      </w:r>
    </w:p>
    <w:p>
      <w:r>
        <w:t>EN DROIT 1. Conformément à l'art. 134 al. 1 let. a ch. 5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1er janvier 2021 est entrée en vigueur la modification du 21 juin 2019 de la LPGA. Toutefois, dans la mesure où le recours était, au 1er janvier 2021, pendant devant la chambre de céans, il reste soumis à l'ancien droit (cf. art. 83 LPGA). 4. 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5. a. Selon l'art. 49 al. 4 LPGA l'assureur qui rend une décision touchant l'obligation d'un autre assureur d'allouer des prestations est tenu de lui en communiquer un exemplaire. Cet autre assureur dispose des mêmes voies de droit que l'assuré. Cette disposition, qui reprend en substance l'ancien art. 129 al. 1 de l’ordonnance sur l'assurance-accidents du 20 décembre 1982 (OLAA - RS 832.202), s’inscrit dans le contexte particulier de la coordination des différentes assurances sociales afin d'éviter, notamment, la surindemnisation et faciliter les règlements de comptes</w:t>
      </w:r>
    </w:p>
    <w:p>
      <w:r>
        <w:t>A/2877/2020 - 6/17 - lorsque différentes institutions intéressées ne parviennent pas à se mettre d'accord (ATF 125 V 339 consid. 2; arrêt du Tribunal fédéral des assurances I 564/02 du 13 janvier 2004 consid. 2.2). Cette disposition concerne en particulier des assureurs ou des organes qui appliquent et organisent l’assurance sociale (KIESER, ATSG Kommentar, 2020, n° 99 ad art. 49 LPGA). La jurisprudence a ainsi considéré que l'assureur privé n'a pas qualité pour recourir contre la décision d'un assureur- accidents en application de l'art. 129 OLAA (ATF 125 V 341 consid. 2 et 3b ; arrêt du Tribunal fédéral des assurances U 83/01 du 12 octobre 2001 consid. 2a in fine ; voir également Valérie DEFAGO GAUGUIN, in Commentaire romand de la LPGA, 2018, n° 48 ad Art. 49 LPGA). Conformément à l’art. 1a de la loi fédérale sur l'assurance-maladie du 18 mars 1994 (LAMal - RS 832.10), l’assurance-maladie sociale comprend l’assurance obligatoire des soins et l’assurance facultative d’indemnités journalières. L’assurance facultative d’indemnités journalières au sens de la LAMal constitue par conséquent une assurance sociale (cf. David HUSMANN/ Aurelia JENNY, Basler Kommentar Krankenversicherungsgesetz / Krankenversicherungsaufischtsgesetz 2020, n° 1 ad Vorbermerkungen vor Art. 67 ff. KVG). b. En l’espèce, en sa qualité d’assureur-maladie perte de gain soumis à la LAMal, la recourante doit être considérée comme une assurance sociale. De plus, dans la mesure où elle est susceptible de devoir verser des indemnités journalières, son obligation de prester est touchée par la décision querellée. MUTUEL a donc qualité pour recourir contre la décision de l’intimée du 4 août 2020. Par ailleurs, en tant que destinataire de la décision initiale, l’assuré aurait également dû être destinataire de la décision sur opposition, quand bien même il n’a pas fait usage de son droit d’opposition. En effet, toute personne disposant de la qualité pour former opposition doit être invitée à participer à la procédure d’opposition (Valérie DEFAGO GAUGUIN, in Commentaire romand de la LPGA, 2018, n° 26 ad Art. 52 LPGA). Le destinataire principal d’une décision sur opposition peut de plus recourir devant la Chambre de céans même s’il n’a pas fait opposition à la décision initiale ou participé à la procédure d’opposition (Jean METRAL, in Commentaire romand de la LPGA, n° 8 ad Art. 59). Il convient donc de considérer que l’assuré est également partie à la procédure de recours. 6. 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7. A titre liminaire, il y a lieu de circonscrire le litige. a. Dans la procédure juridictionnelle administrative, ne peuvent être examinés et jugés, en principe, que les rapports juridiques à propos desquels l'autorité administrative compétente s'est prononcée préalablement d'une manière qui la lie,</w:t>
      </w:r>
    </w:p>
    <w:p>
      <w:r>
        <w:t>A/2877/2020 - 7/17 - sous la forme d'une décision. Dans cette mesure, la décision détermine l'objet de la contestation qui peut être déféré en justice par voie de recours (arrêt du Tribunal fédéral 8C_87/2007 du 1er février 2008 consid. 1.1).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b. En l’espèce, par décision du 2 avril 2019, l’intimée a mis un terme à ses prestations faute de lien de causalité naturelle entre les troubles encore ressentis par l’assuré et l’accident assuré. Elle a en particulier considéré qu’à compter du 1er avril 2018, l’assuré n’avait plus droit aux traitements médicaux, au remboursement de frais et aux indemnités journalières, à l’exception des rechutes ou des séquelles tardives au sens de l’art. 11 OLAA. L’intimée renonçait cependant à demander le remboursement des prestations allouées à tort depuis le 1er avril 2018. Seule la recourante – à l’exclusion de l’assuré – s’est opposée à la décision précitée, au motif que le lien de causalité naturelle était toujours donné. Par décision sur opposition du 4 août 2020, uniquement notifiée à la recourante, l’intimée a confirmé sa décision du 2 avril 2019, considérant que le lien de causalité naturelle n’était plus donné conformément aux conclusions du Dr C______. Cela étant, dans tous les cas, la comparaison des revenus n’avait montré aucune perte économique. Concrètement, sans abattement, le degré d’invalidité était de 2%. Avec un abattement de 5%, il était de 7%. Compte tenu de ce qui précède, le litige porte uniquement sur le droit de l’intimée à mettre un terme au versement des indemnités journalières avec effet rétroactif au 31 mars 2018, étant précisé que dans les faits, l’intimée a versé lesdites indemnités jusqu’au 31 mars 2019. 8.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b/aa. Le droit à des prestations découlant d'un accident assuré suppose d'abord, entre l'événement dommageable de caractère accidentel et l'atteinte à la santé, un</w:t>
      </w:r>
    </w:p>
    <w:p>
      <w:r>
        <w:t>A/2877/2020 - 8/17 -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b/bb.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w:t>
      </w:r>
    </w:p>
    <w:p>
      <w:r>
        <w:t>A/2877/2020 - 9/17 -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9.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 10.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A/2877/2020 - 10/17 -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e. Les expertises demandées par l'assureur-maladie perte de gain, qui n'ont pas été récoltées conformément à la procédure prévue par l'art. 44 LPGA, ont a la même valeur probante qu'un rapport médical interne de l'assureur (arrêt du Tribunal fédéral 8C_71/2016 du 1er juillet 2016 consid. 5.3).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w:t>
      </w:r>
    </w:p>
    <w:p>
      <w:r>
        <w:t>A/2877/2020 - 11/17 -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12. En l’espèce, l’assuré a été victime d’un accident de la voie publique le 4 janvier 1992, ayant entraîné une fracture comminutive de la rotule. L’intimée a pris en charge les suites dudit accident. Il en va de même de la rechute annoncée en 1999. S’agissant de la rechute de 2018, elle a notamment conduit à la mise en place de la prothèse totale du genou gauche le 3 janvier 2018. En effet, c’est en raison d’une arthrose fémoropatellaire, en lien de causalité avec l’accident du 4 janvier 1992, et d’une arthrose fémorotibiale, consécutive à une méniscectomie pratiquée le 3 octobre 2016, sans rapport avec l’accident précité, que l’assuré a bénéficié de la mise en place d’une prothèse totale de genou. Cette intervention étant en lien de causalité partielle avec l’accident, l’intimée en a, dans un premier temps, pris en charge les suites. Cependant, elle a mis un terme à ses prestations avec effet au 1er avril 2018, par décision du 2 avril 2019, confirmée sur opposition le 4 août 2020. Sa décision se fondait notamment sur les conclusions du Dr C______, pour qui les douleurs persistantes au genou gauche n’étaient plus consécutives à la pose de la prothèse mais désormais dues à une atteinte vertébrale d’origine dégénérative. Pour le médecin précité, il ne s’agissait donc plus d’une suite de l’accident du 4 janvier 1992. Pour sa part, la recourante, en sa qualité d’assurance perte de gain, a contesté la décision de suppression des prestations, au motif que les douleurs séquellaires au genou gauche étaient toujours en lien avec l’accident assuré et, plus particulièrement, avec la mise en place de la prothèse totale de genou. A l’appui de sa position, la recourante s’est référée aux conclusions du Dr D______. La question à laquelle la Chambre de céans doit répondre est par conséquent celle de savoir si les douleurs dont souffre encore le recourant sont toujours en lien de causalité naturelle avec l’accident assuré par l’intimée ou si, au contraire, lesdites douleurs sont désormais d’origine dégénérative, de sorte que leurs conséquences doivent être prises en charge par l’assurance-maladie et l’assurance-perte de gain, pour autant que les conditions y relatives soient réalisées.</w:t>
      </w:r>
    </w:p>
    <w:p>
      <w:r>
        <w:t>A/2877/2020 - 12/17 - 13. a. Pour déterminer l’assurance devant intervenir au-delà du 1er avril 2019, le versement des indemnités journalières ayant, dans les faits, cessé à cette date, la Chambre de céans doit, dans un premier temps, examiner la valeur probante des rapports des Drs C______ et D______. Force est tout d’abord de constater que les deux rapports et leurs compléments remplissent prima facie, sur le plan formel, la majorité des exigences auxquelles la jurisprudence soumet la valeur probante de tels documents. En effet, ils contiennent le résumé du dossier, les indications subjectives de la recourante, des observations cliniques, ainsi qu'une discussion générale du cas. b/aa. Sur le fond, le Dr C______ retient, dans son rapport du 22 février 2019 que les douleurs au niveau du genou gauche doivent être attribuées « à une pathologie lombaire de nature médicale [recte maladive] dégénérative » (rapport du 22 février p. 17). Pour arriver à cette conclusion, le Dr C______ a notamment procédé à un examen orthopédique des hanches et à un examen vasculaire et neurologique des membres inférieurs. Le médecin précité ne prend pas de conclusion particulière s’agissant de l’examen orthopédique des hanches et de l’examen vasculaire des membres inférieurs, de sorte qu’il peut être conclu que ces examens étaient dans les limites de la norme. S’agissant de l’examen neurologique des membres inférieurs, le Dr C______ a considéré, lors de la recherche de signes d’irritation de racines nerveuses, que le Lasègue et le Lasègue sensibilisé Braggard étaient douteux à droite. En revanche, le médecin précité n’a retrouvé aucun signe d’irritation à gauche (la réponse est « NON » à toutes les manœuvres »). Il en a conclu à un syndrome radiculaire irritatif bilatéral à prédominance droite avec un possible signe de Lasègue, en particulier sensibilisé Braggard. Dans son rapport du 25 juin 2021, le Dr D______ a constaté que les conclusions du Dr C______ étaient contradictoires. En effet, il évoquait un syndrome radiculaire bilatéral alors qu’il n’avait pas constaté de signe d’irritation à gauche et que les signes d’irritation à droite étaient uniquement douteux. Le médecin mandaté par la recourante s’est également étonné que le Dr C______ n’ait pas fait des investigations neuroradiologiques plus poussées. Le Dr C______ a réagi à ces critiques dans un rapport du 7 juillet 2021, dans lequel il a expliqué que l’absence d’un seul signe d’examen ne permettait pas de rejeter l’existence du syndrome en question, relevant en outre que le recourant était, au jour de l’examen, sous triple médication contre la douleur, laquelle était adaptée à une compression d’un nerf par une hernie discale. En tout état, des investigations plus poussées sortaient de son mandat. Malgré les explications données par le Dr C______, la Cour de céans peine à comprendre comment ce dernier peut conclure à l’existence d’un syndrome radiculaire irritatif bilatéral à prédominance droite avec un possible signe de Lasègue, en particulier sensibilisé Braggard, alors que toutes les manœuvres étaient</w:t>
      </w:r>
    </w:p>
    <w:p>
      <w:r>
        <w:t>A/2877/2020 - 13/17 - négatives du côté gauche et que le Lasègue et le Lasègue sensibilité Braggard, seules manœuvres à avoir entraîné une réaction du côté droit, étaient uniquement douteux. S’y ajoute le fait que le Dr C______ semble justifier ses conclusions suite aux critiques du Dr D______ en relevant que l’assuré était sous triple médication au jour de l’examen. Cette affirmation est toutefois en contradiction avec le rapport d’expertise du 22 février 2019, dans lequel le Dr C______ a écrit « Traitement actuel Aucun. En réserve : diclofénac et paractamol codéïné. De posologie et dosage inconnus ». Compte tenu des termes « aucun », « en réserve » et « de posologie et dosage inconnus » utilisés par le Dr C______, on ne peut considérer, comme l’a fait le médecin précité, que le recourant prenait un traitement antalgique important au jour de l’expertise. Le rapport du médecin consulté par l’assureur- accidents n’est par conséquent pas convaincant sur ce point. Force est également de constater que le Dr C______ n’a pas examiné toutes les pièces figurant au dossier. En effet, en raison de douleurs postéro-externes du genou, une échographie a été effectuée le 28 janvier 2019. Or, cette imagerie a montré un épanchement intra-articulaire et un aspect de synovite a été visualisé sur les récessus articulaires latéraux du genou. De plus, le tendon quadricipital était épaissi. Compte tenu de cet épanchement intra-articulaire, une ponction a été réalisée le même jour et 5 ou 10 cm3 (les deux volumes ayant été mentionnés dans le rapport) de liquide articulaire ont été retirés. Le Dr C______ n’a toutefois pas examiné ces points dans son rapport. Même si le compte-rendu de ponction est cité dans le récapitulatif intégral de la documentation mise à disposition (cf. p. 28 à 33 du rapport du 22 février 2019), il n’a pas été résumé dans l’anamnèse (voir p. 3 du rapport précité) et n’a pas non plus été examiné dans le chapitre « évolution du genou gauche depuis le 03.10.16 » p. 16 du rapport du 22 février 2019). Les investigations médicales effectués par le Dr C______, en lien avec le genou, sont par conséquent lacunaires. Compte tenu de éléments qui précèdent, la Chambre de céans n’est pas convaincue par les conclusions du Dr C______, auxquelles on ne saurait reconnaître une pleine valeur probante. On ne saurait en effet attribuer les douleurs du genou à une pathologie lombaire de nature dégénérative moyennant des explications contradictoires et un examen du dossier lacunaire. b/bb. Pour sa part, le Dr D______ a retenu, dans son rapport du 23 décembre 2019, le diagnostic de syndrome douloureux résiduel modéré après prothèse totale du genou gauche pour arthrose fémoro-patellaire massive après cal vicieux et rotule basse sur ancienne fracture comminutive de rotule. Dans son complément, le Dr D______ a évoqué une gêne fonctionnelle résiduelle après mise en place d’une prothèse totale du genou gauche. La capacité de travail était de 50% dans l’activité habituelle et de 100% dans une activité adaptée, assise ou semi-assise, avec déplacements occasionnels, avec port de charge de 5kg, occasionnel de 10 kg et exceptionnel de 15 kg. La position bipodale continue ainsi que le piétinement étaient contre-indiqués. Pour arriver à cette conclusion, le Dr D______ a examiné</w:t>
      </w:r>
    </w:p>
    <w:p>
      <w:r>
        <w:t>A/2877/2020 - 14/17 - l’assuré et a notamment constaté une amyotrophie globale de la cuisse gauche et plus modérément du mollet, ainsi qu’une tuméfaction du genou gauche un peu diffuse, mais surtout sus-quadricipitale. Le genou était froid, sans épanchement. La mobilité de la rotule était légèrement diminuée par rapport à droite, avec une importante synovite susrotulienne légèrement sensible. Le Dr D______ a également mesuré un indice de Caton Descamps de 1,56 (39/25) à droite et de 1 à gauche (30/30) à gauche sur la radiographie du genou gauche du 5 décembre 2017 et de 1,5 (30/20) à droite sur la radiographie du 21 octobre 2019. Dans ses compléments des 5 janvier et 7 juillet 2021, le Dr C______ a formulé diverses critiques s’agissant des conclusions du Dr D______. Il a tout d’abord reproché au Dr D______ d’avoir modifié son diagnostic entre le premier et le second rapport, sans explications et d’avoir omis de citer certains diagnostics. Il a également considéré que le critère (index de Caton-Deschamps) utilisé pour relier les douleurs à l'appareil extenseur n'était pas applicable en cas de prothèse et qu’il avait été appliqué au mauvais genou. Pour le Dr C______, la localisation des douleurs retenues par le Dr D______ fluctuait et ne permettait pas d'arriver aux conclusions que ce dernier avait prises. Force est effectivement de constater, avec le Dr C______, que le diagnostic retenu par le Dr D______ est vague et qu’il s’est modifié entre le premier et le second rapport, passant d’un syndrome douloureux à une gêne fonctionnelle, sans la moindre explication. Les valeurs de l’index de Caton Deschamps ne ressortent en outre pas clairement des rapports du Dr D______. Dans son rapport du 23 décembre 2019, le médecin précité évoque un indice de 1,56 (39/25) à droite et de 1 à gauche (30/30) à gauche sur la radiographie du genou gauche du 5 décembre 2017 et de 1,5 (30/20) à droite sur la radiographie du 21 octobre 2019. Dans son rapport du 25 juin 2021, le Dr D______ mentionne un indice de 0,45 le 23 janvier 2018 et de 0,4 le 23 février 2019. Ces valeurs ne ressortent toutefois pas de la description des examens pratiqués. Au demeurant, la date du 23 février 2019 ne correspond à un aucun examen mentionné par les experts dans la liste des documents consultés. S’y ajoute le fait que le Dr D______ emploie le terme « possiblement » à plusieurs reprises, ce qui laisse penser que le lien de causalité n’est pas établi au degré de la vraisemblance prépondérante. Compte tenu de ce qui précède, on ne peut pas non plus reconnaître une pleine valeur probante au rapport du Dr D______. c. En présence de deux rapports dont la valeur probante est contestable, une instruction complémentaire sous la forme d’une expertise judiciaire devrait, en principe, être menée. Cela étant, la Chambre de céans renoncera à cette mesure pour des questions d’économie de procédure, dès lors que le recours de Mutuel doit quoi qu’il en soit être rejeté. En effet, dans tous les cas, l’intimée aurait été autorisée à mettre un terme au versement des indemnités journalières pour les motifs suivants.</w:t>
      </w:r>
    </w:p>
    <w:p>
      <w:r>
        <w:t>A/2877/2020 - 15/17 - 14. a. En cas d'atteinte à la santé due à un accident, l'assureur-accidents prend en charge les prestations suivantes : le traitement médical (art. 10ss LAA), les indemnités journalières (art. 16ss LAA), la rente d'invalidité (art. 18 ss LAA) et l'indemnité pour atteinte à l'intégrité (art. 24s LAA).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En résumé, l'assureur-accidents accorde, en cas d'incapacité de travail, des indemnités journalières pendant la durée du traitement médical. En cas d'incapacité de travail permanente ou de longue durée, dès qu'il n'y a plus lieu d'attendre de la continuation du traitement médical une sensible amélioration de l'état de l'assuré, la rente d'invalidité prend le cas échéant le relais et remplace les indemnités journalières et le traitement médical (KIESER, ATSG-Kommentar, 2015, n° 46 ad Art. 6 LPGA ; voir également art. 10, 16 et 19 LAA). b. Le droit au traitement médical existe aussi longtemps qu'on peut en attendre une amélioration sensible de l'état de santé de l'assuré (ATF 116 V 44 consid. 2c).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(arrêts du Tribunal fédéral 8C_685/2019 du 9 juin 2020 consid. 4 et 8C_210/2018 du 17 juillet 2018 consid. 3.2.3.1, in SVR 2019 UV n° 4 p. 15 et les références). De même, une éventuelle simple amélioration de l'affection elle-même, un simple soulagement de courte durée, une simple amélioration de l'état de santé ou le fait que l'assuré puisse bénéficier d'une physiothérapie, par exemple, ne sont pas suffisants (arrêts du Tribunal fédéral 8C_970/2012 du 31 juillet 2013 consid. 3.4 ; 8C_855/2009 du 21 avril 2010 consid. 7 ; 8C_338/2009 du 14 janvier 2010 E. 5.1 ; 8C_28/2008 du 28 juillet 2008 E. 3.3). Les contrôles de l'évolution médicale, la prise de médicaments et les traitements de thérapie manuelle ne sont pas considérés comme un traitement médical continu visant à une amélioration sensible de l'état de santé au sens de la jurisprudence (arrêt du Tribunal fédéral des assurances U 395/06 du 5 octobre 2007 consid. 5.3).</w:t>
      </w:r>
    </w:p>
    <w:p>
      <w:r>
        <w:t>A/2877/2020 - 16/17 - 15. A titre liminaire, la Chambre de céans relève que l’assureur-accidents peut clore un cas quand bien même l’assuré ressent encore une gêne ou des douleurs. La seule question qui se pose en effet est celle de savoir si le traitement médical peut encore entraîner une amélioration sensible de l’état de santé de l’assuré, ce par quoi il faut entendre une amélioration de la capacité de travail. Dans le cas d’espèce, l’assuré a bénéficié de la pose d’une prothèse totale de genou en date du 3 janvier 2018. Suite à cette intervention, les médecins lui ont prescrit des antalgiques et de la physiothérapie intensive (cf. notamment rapport du Dr D______ du 23 décembre 2019). L’assuré ne ressentait toutefois plus aucune amélioration depuis fin 2018 (ibidem). Par ailleurs, il a repris son activité professionnelle à 50% à compter du 30 juillet 2018. En raison de la persistance des douleurs et d’une gêne fonctionnelle, l’assuré a consulté à plusieurs reprises son chirurgien mais aucun traitement particulier ne semble avoir été suivi. Partant, l’état de santé de l’assuré est stabilisé à tout le moins depuis fin 2018 et l’intimée était ainsi en droit de clore le cas au printemps 2019 et de mettre un terme au versement des indemnités journalières que le lien de causalité soit encore donné ou non. A toutes fins utiles, la Chambre de céans rappelle que seule la fin du versement des indemnités journalières faisait l’objet de la décision sur opposition querellée, la question de la rente d’invalidité n’ayant pas fait l’objet de la décision initiale comme cela a été soulevé par la recourante. Par le présent arrêt, la Chambre de céans confirme donc uniquement la fin du versement des indemnités journalières avec effet au 31 mars 2018 ou 2019 au plus tard et ce en raison de la clôture du cas. Dans la mesure où tant le rapport du Dr C______ que celui du Dr D______ ont été considérés comme dénués de valeur probante, rien ne préjuge de l’existence ou l’inexistence du lien de causalité. 16. Au vu de ce qui précède, c’est à juste titre que l’intimée a mis un terme au versement des indemnités journalières, que la date retenue soit le 31 mars 2018 ou le 31 mars 2019, cette question pouvant en l’état rester ouverte, dès lors que l’assuré a bénéficié, dans les faits, du versement d’indemnités journalières jusqu’au</w:t>
      </w:r>
    </w:p>
    <w:p>
      <w:r>
        <w:rPr>
          <w:b/>
        </w:rPr>
        <w:t>E. 31</w:t>
      </w:r>
    </w:p>
    <w:p>
      <w:r>
        <w:t>mars 2019. Partant, le recours de Mutuel sera rejeté au sens des considérants qui précèdent. L’intimée sera par ailleurs invitée à rendre une décision sur la question du droit à la rente de l’assuré, voire d’une indemnité pour atteinte à l’intégrité (IPAI). Pour le surplus, la procédure est gratuite.</w:t>
      </w:r>
    </w:p>
    <w:p>
      <w:r>
        <w:t>A/2877/2020 - 17/17 -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