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ATAS/1003/2021 vom 27. September 2021</w:t>
      </w:r>
    </w:p>
    <w:p>
      <w:r>
        <w:t>GE Cour de justice, 2021-09-27, FR</w:t>
      </w:r>
    </w:p>
    <w:p>
      <w:r>
        <w:rPr>
          <w:b/>
        </w:rPr>
        <w:t xml:space="preserve">Quelle: </w:t>
      </w:r>
      <w:r>
        <w:t>https://mcp.opencaselaw.ch/entscheid/ge_gerichte_ATAS_1003_2021</w:t>
      </w:r>
    </w:p>
    <w:p>
      <w:r>
        <w:t>FR: GE_GERICHTE ATAS/1003/2021 du 27 septembre 2021</w:t>
      </w:r>
    </w:p>
    <w:p>
      <w:r>
        <w:t>IT: GE_GERICHTE ATAS/1003/2021 del 27 settembre 2021</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droit du recourant à des prestations de l’intimé au-delà du 20 janvier 2021, à la suite de son accident du 13 août 2019.</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A/205/2021 - 6/13 -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w:t>
      </w:r>
    </w:p>
    <w:p>
      <w:r>
        <w:t>A/205/2021 - 7/13 - Tribunal fédéral 8C_1003/2010 du 22 novembre 2011 consid. 1.2 et 8C_552/2007 du 19 février 2008 consid. 2).</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A/205/2021 - 8/13 -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w:t>
      </w:r>
    </w:p>
    <w:p>
      <w:r>
        <w:t>A/205/2021 - 9/13 -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w:t>
      </w:r>
    </w:p>
    <w:p>
      <w:r>
        <w:t>A/205/2021 - 10/13 - point de l'expertise ordonnée par l'administration ou de demander un complément à l'expert (ATF 137 V 210 consid. 4.4.1.3 et 4.4.1.4; SVR 2010 IV n. 49 p. 151, consid. 3.5; arrêt du Tribunal fédéral 8C_760/2011 du 26 janvier 2012 consid. 3).</w:t>
      </w:r>
    </w:p>
    <w:p>
      <w:r>
        <w:rPr>
          <w:b/>
        </w:rPr>
        <w:t>E. 10</w:t>
      </w:r>
    </w:p>
    <w:p>
      <w:r>
        <w:t>a. En l’occurrence, il est établi que le recourant, suite à un accident du 13 août 2019, a présenté une entorse du LCM au genou gauche, avec présence d’un œdème ainsi qu’une lésion cartilagineuse de la rotule gauche. A cet égard, l’IRM du 19 août 2019 a objectivé une fissuration profonde et irrégulière du cartilage de la facette rotulienne interne, s’étendant jusqu’à l’os sous- chondral et décollant le cartilage sur toute son épaisseur sur une zone de 7,5 mm ainsi qu’une fissure profonde et focale du cartilage de la crête de la rotule s’étendant quasiment jusqu’à l’os sous-chondral. Ces fissurations ont été qualifiées par le Dr E______ de lésion cartilagineuse (avis du 19 mai 2021), par le Dr F______ de fracture chondrale (avis des 20 janvier 2020, 20 août 2020, 25 janvier 2021 et 14 avril 2021) et par le Dr C______ de lésion focale du cartilage ou de fracture chondrale (avis du 9 avril 2021). Contrairement à l’avis du Dr D______, la notion de fracture évoquée tant par le Dr F______ que par le Dr C______, dans la mesure où elle se réfère à une solution de continuité du cartilage, n’est pas critiquable et est confirmée par l’IRM précité. A cet égard, la fracture est définie comme la rupture d’un os ou d’un cartilage dur (www.larousse.fr) ou une solution de continuité des os ou des cartilages (www.orthopedie-pediatrique.be). La notion de fracture mentionnée par le Dr F______ et confirmée par le Dr C______ correspond ainsi à la description des lésions objectivées à l’IRM du 19 août 2021. b. L’intimé se réfère aux avis du Dr D______ pour conclure à un statu quo sine au 20 janvier 2020. Les rapports de ce médecin ne répondent toutefois pas aux réquisits jurisprudentiels précités pour que l’on puisse leur reconnaitre une valeur probante. Tout d’abord, le Dr D______, alors même qu’il disposait du rapport d’IRM du 19 août 2019, ne retient qu’un diagnostic d’entorse du LLI et ne se prononce pas sur les fissures du cartilage objectivée à l’IRM (avis du Dr D______ des 21 octobre 2019 et 25 août 2020). Il semble, à cet égard, uniquement évoquer une arthrose fémoro-patellaire à gauche et débutante à droite, sans expliquer pour quel motif les fissurations du cartilage, nettement plus marquées à gauche, soit sur le genou traumatisé, ne relèveraient pas du traumatisme. En effet, l’IRM du 19 août 2019 n’a montré qu’une érosion superficielle du cartilage de la facette rotulienne interne du genou droit alors que les fissurations du cartilage de la rotule du genou gauche sont profondes. Les troubles au genou droit ont d’ailleurs été qualifiés de troubles dégénératifs mineurs sans solution de continuité, ou encore d’atteinte dégénérative discrète (avis du Dr F______ du 14 avril 2021), sans que cela ne soit contesté par le Dr D______ et l’intimée. Le Dr D______ se borne, sans motivation, à retenir un diagnostic d’arthrose, soit un état dégénératif antérieur, au motif que dans le cadre</w:t>
      </w:r>
    </w:p>
    <w:p>
      <w:r>
        <w:t>A/205/2021 - 11/13 - d’une arthrose par usure et délamination, il y a aussi une solution de continuité (avis du Dr D______ du 14 juin 2021). Or, les médecins traitants du recourant ont tous estimé que celui-ci avait présenté une lésion cartilagineuse post-traumatique et le Dr D______ n’a pas expliqué pour quel motif il s’écartait de ces appréciations. S’agissant des rapports des médecins traitants, ils posent en effet tous le diagnostic de lésion cartilagineuse de la rotule gauche, que cette lésion soit qualifiée de fissure, de solution de continuité ou de fracture. Concernant l’origine de cette lésion, les Drs F______ et C______ ont tous deux considéré qu’elle provenait, au degré de la vraisemblance prépondérante, du traumatisme. Quant au Dr E______, il a également estimé que la lésion cartilagineuse était associée à l’entorse du LCM. Le Dr F______ a souligné que le genou droit ne montrait que des troubles dégénératifs mineurs, également présents sur le genou gauche (atteinte dégénérative discrète préexistante que l’on retrouvait au niveau des deux genoux), ce qui tendait à démontrer que les fissures profondes présentent au genou gauche n’étaient pas des atteintes dégénératives (avis du Dr F______ du 14 avril 2021). Par ailleurs, le Dr C______ a relevé que l’on ne pouvait parler d’arthrose du genou gauche en présence d’une lésion focale sur 7,5 mm seulement ; cette notion de traumatisme étant en outre renforcée par le fait que le recourant était asymptomatique avant l’accident et avait ressenti une douleur subite et importante au moment de celui-ci, laquelle avait perduré ; enfin une telle lésion chondrale, avec notamment un décollement pouvait effectivement survenir lors d’un traumatisme (avis du Dr C______ du 9 avril 2021). Le Dr D______ n’a ainsi pas contesté de façon convaincante l’avis des médecins traitant quant à la présence d’une lésion cartilagineuse post-traumatique et son rapport, non probant, ne peut fonder la décision litigieuse. c. Au demeurant, la présence d’une lésion cartilagineuse importante au genou gauche, suite à un traumatisme, avec apparition subite de douleurs persistantes, de surcroit limitée à une zone de 7,5mm, alors que le genou droit ne présente qu’une atteinte dégénérative mineure, permet de conclure, sur la base des avis des trois médecins traitants précités, et au degré de la vraisemblance prépondérante, à une origine accidentelle de la lésion. En particulier, une investigation médicale complémentaire n’apparait pas nécessaire, les aspects médicaux du cas étant suffisamment étayés et l’analyse de la causalité suffisamment probante, ce d’autant qu’aucun avis médical convaincant, celui du Dr D______ devant être écarté, ne remet en cause ceux des médecins traitant. d. Dans la mesure où les conséquences de cette lésion ont perduré au-delà du 20 janvier 2020, c’est à tort que l’intimée a conclu à un statu quo sine à cette date, et cessé le versement de ses prestations. Dans ces conditions, la question de savoir si la lésion en cause relève d’une lésion assimilée au sens de l’art. 6 al. 2 LAA peut rester ouverte.</w:t>
      </w:r>
    </w:p>
    <w:p>
      <w:r>
        <w:t>A/205/2021 - 12/13 -</w:t>
      </w:r>
    </w:p>
    <w:p>
      <w:r>
        <w:rPr>
          <w:b/>
        </w:rPr>
        <w:t>E. 11</w:t>
      </w:r>
    </w:p>
    <w:p>
      <w:r>
        <w:t>Partant, le recours sera admis, la décision litigieuse sera annulée et l’intimée sera invitée à prendre en charge les suites de l’accident du 13 août 2019, dans le sens des considérants. Pour le surplus, la procédure est gratuite.</w:t>
      </w:r>
    </w:p>
    <w:p>
      <w:r>
        <w:t>A/205/2021 - 13/13 -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