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ATAS/1003/2018 vom 31. Oktober 2018</w:t>
      </w:r>
    </w:p>
    <w:p>
      <w:r>
        <w:t>GE Cour de justice, 2018-10-31, FR</w:t>
      </w:r>
    </w:p>
    <w:p>
      <w:r>
        <w:rPr>
          <w:b/>
        </w:rPr>
        <w:t xml:space="preserve">Quelle: </w:t>
      </w:r>
      <w:r>
        <w:t>https://mcp.opencaselaw.ch/entscheid/ge_gerichte_ATAS_1003_2018</w:t>
      </w:r>
    </w:p>
    <w:p>
      <w:r>
        <w:t>FR: GE_GERICHTE ATAS/1003/2018 du 31 octobre 2018</w:t>
      </w:r>
    </w:p>
    <w:p>
      <w:r>
        <w:t>IT: GE_GERICHTE ATAS/1003/2018 del 31 ottobre 2018</w:t>
      </w:r>
    </w:p>
    <w:p>
      <w:pPr>
        <w:pStyle w:val="Heading2"/>
      </w:pPr>
      <w:r>
        <w:t>Erwägungen</w:t>
      </w:r>
    </w:p>
    <w:p>
      <w:r>
        <w:rPr>
          <w:b/>
        </w:rPr>
        <w:t>E. 23</w:t>
      </w:r>
    </w:p>
    <w:p>
      <w:r>
        <w:t>À teneur du rapport d’expertise établi par le Dr H______ le 20 avril 2018, l’expertise psychiatrique se fondait sur l’étude du dossier fourni par la chambre des assurances sociales, les examens cliniques de l’expertisé effectués les 24 mars et 12 avril 2018, qui avaient duré plus de trois heures, ainsi que des contacts téléphoniques avec les thérapeutes ayant suivi l'expertisé, notamment sa psychologue. Le rapport contient une anamnèse et les données subjectives de l’expertisé. S’agissant des activités professionnelles exercées, il mentionne qu'à partir de 2007, l’expertisé s’était mis à son compte, mais qu'il n'avait pas vraiment gagné sa vie comme indépendant. Depuis environ un an, son état de santé s’était suffisamment amélioré pour qu’il se sente de nouveau apte à reprendre contact avec la vie active. Il envisageait de prendre des cours pour se mettre à jour dans le</w:t>
      </w:r>
    </w:p>
    <w:p>
      <w:r>
        <w:t>A/2824/2016 - 6/23 - domaine de l’informatique et était en train d’aménager un local pour le transformer en atelier où il comptait travailler dans la réparation d’ordinateurs et l’impression 3D. S’agissant de sa vie affective, l’expertisé déclarait une seule relation vraiment investie avec son épouse. Il avait vécu une relation extra-conjugale d’environ quatre mois qui n'avait, selon lui, pas réellement été importante et qui était survenue dans le contexte particulier d’un séjour en clinique. L’enfant du couple allait bien. L’expertisé s’en occupait et lui montrait intérêt et affection autant qu’il le pouvait. Il gardait de bons contacts avec sa mère et son père. S’agissant de la vie sociale et des loisirs, l’expertisé s'était éloigné de ses activités en lien avec le modélisme et une ludothèque dont il avait participé à la mise sur pied. L'expertisé n'avait plus été capable de conduire pendant une période et il avait recommencé à le faire un an auparavant environ. Sa famille ne voyageait pas depuis plusieurs années, à la fois pour des raisons financières et parce que l’expertisé n’en n’avait pas envie. Sous « discussion », l’expert a relevé que l’état clinique de l’expertisé était caractérisé par un syndrome dépressif et un trouble anxieux, tous deux de gravité variable de 2011 à ce jour. À l'heure actuelle, sa dépression était de degré léger à moyen. La manifestation anxieuse la plus constante tout au long de l’affection actuelle était la survenue soudaine, souvent inopinée, d’épisodes anxieux suraigus souvent accompagnés de phénomènes de déréalisation et de dépersonnalisation et de scénarios-catastrophes se terminant par la mort, la folie ou l’atteinte cérébrale. Ces symptômes étaient tout à fait typiques des attaques de panique et leur répétition ainsi que la crainte envahissante de refaire des épisodes semblables signaient le diagnostic de trouble panique. Il était tout à fait plausible que l’expertisé ait présenté une réaction paradoxale aux benzodiazépines qui avait aggravé le trouble panique. Le trouble panique avait été particulièrement sévère entre 2011 et 2016. Il restait d’actualité, car l'expertisé redoutait encore une nouvelle crise et n’avait pas développé beaucoup d’outils pour contrôler ces attaques. Il restait également des symptômes plus diffus d’anxiété. L’importance des répercussions psychologiques et socio-professionnelles des caractéristiques de la personnalité de l'expertisé depuis le début de l’âge adulte incitait l’expert à retenir un trouble de la personnalité avec traits évitants et dépendants, de gravité moyenne. Les troubles psychiques dans leur ensemble avaient ainsi occasionné chez l’expertisé une incapacité de travail totale de novembre 2011 à avril 2017, puis de 50 % pour une durée indéterminée, mais pour deux ans au moins.</w:t>
      </w:r>
    </w:p>
    <w:p>
      <w:r>
        <w:rPr>
          <w:b/>
        </w:rPr>
        <w:t>E. 24</w:t>
      </w:r>
    </w:p>
    <w:p>
      <w:r>
        <w:t>Le 15 mai 2018, le recourant a estimé que l’expertise du Dr H______ avait pleine valeur probante et persisté dans ses conclusions.</w:t>
      </w:r>
    </w:p>
    <w:p>
      <w:r>
        <w:rPr>
          <w:b/>
        </w:rPr>
        <w:t>E. 25</w:t>
      </w:r>
    </w:p>
    <w:p>
      <w:r>
        <w:t>Le 15 mai 2018, l’intimé a contesté la valeur probante du rapport d’expertise du Dr H______. À la lecture de l’expertise du Dr H______, l’anxiété du recourant s'était manifestée de plusieurs manières, notamment avec des aspects</w:t>
      </w:r>
    </w:p>
    <w:p>
      <w:r>
        <w:t>A/2824/2016 - 7/23 - hématophobiques. L’expert retenait encore pour expliquer l’anxiété une agoraphobie avec la peur de quitter la maison et une hypochondrie. Or la CIM-10 retenait que les attaques de panique ne devaient pas être liées à une situation ou un objet spécifique comme le serait le sang ou le fait d’être atteint d’une maladie. L’expert judiciaire expliquait encore que la manifestation anxieuse la plus constante tout au long de l’affection actuelle était la survenue soudaine, souvent inopinée, d’épisodes anxieux suraigus souvent accompagnés de phénomènes de déréalisation et de dépersonnalisation et de scénarios-catastrophes se terminant par la mort, la folie ou l’atteinte cérébrale. Ces symptômes étaient tout à fait typiques des attaques de panique et leur répétition ainsi que la crainte envahissante de refaire des épisodes semblables signaient le diagnostic de trouble panique. Il ne faisait ainsi état d’aucun des critères de la CIM-10 pour permettre de diagnostiquer un trouble panique. Par ailleurs, le Dr F______ avait exclu les épisodes de dépersonnalisation en raison du fait que le contact avec la réalité n’était pas perdu. Le Dr H______ retenait que le trouble panique était sévère. Or, pour que ce diagnostic soit réalisé, selon la CIM-10, il fallait au moins quatre attaques de panique par semaine en l’espace de quatre semaines. Il n’était pas fait état d’une telle fréquence en l’espèce, sauf, selon les seuls dires de l’assuré. Le Dr C______ rapportait que, selon les dires de l’assuré, les crises étaient espacées à raison d’une attaque deux fois par semaine depuis la sortie de Belle-Idée, soit en 2014. Les caractéristiques du trouble panique n’étaient ainsi pas réalisés, encore moins s’agissant du degré de sévérité retenu. S’agissant du trouble dépressif récurrent, épisode actuel sévère en rémission partielle, retenu par le Dr H______, les critères de la CIM-10 n'étaient pas non plus remplis. L’expert n’avait pas procédé à l’analyse des indicateurs jurisprudentiels en cas de troubles psychiques. Il n’y avait pas d’échec du traitement malgré une coopération optimale de l’assuré, dès lors que l’expertisé avait mis fin à tout traitement un an auparavant. En 2015, le Dr C______ avait relevé que le recourant avait refusé une augmentation du Seroquel lors du séjour à la Métairie et qu’il avait réduit la dose de cette médication à la moitié après sa sortie et poursuivi des thérapies à l’hôpital de jour en se limitant à une demi-journée par semaine et des consultations psychiatriques occasionnelles. Selon le Dr C______ cette démarche contrastait avec la sévérité du diagnostic retenu par ses thérapeutes ainsi que les indications de l’expertisé concernant l’intensité de sa thérapie, laissant penser à une tendance à la déformation de la vérité. Le Dr F______ avait confirmé la mauvaise compliance au traitement qui avait pourtant pour effet une amélioration des troubles. S’agissant des comorbidités, l'intimé relevait que le trouble mixte de la personnalité, présent depuis le début de l’âge adulte du recourant, retenu par l'expert, ne l'avait pas empêché de travailler et que le Dr C______ n’avait, pour sa part, pas objectivé de trouble de la personnalité morbide. On pouvait ainsi conclure à l’absence de gravité fonctionnelle des troubles présentés par le recourant.</w:t>
      </w:r>
    </w:p>
    <w:p>
      <w:r>
        <w:t>A/2824/2016 - 8/23 - S’agissant de l’axe « personnalité », il ressortait de la lecture du rapport d’expertise judiciaire que l’assuré ne présentait pas de traits de la personnalité pathologiques et que ses capacités psychiques et neuropsychiques étaient préservées. S’agissant de l’axe « contexte social », le réseau familial et amical de l’assuré lui procurait des ressources mobilisables indéniables. L’assuré avait de fréquents contacts avec sa famille et ses amis et vivait en couple avec son enfant. On ne pouvait parler de retrait social. Si l’assuré avait quitté pendant un temps son groupe de modélisme, il avait participé à la mise sur pied d’une ludothèque et vécu une relation extra-conjugale pendant quatre mois, en sus d’autres relations. Par ailleurs, il fabriquait des maquettes à raison de quatre heures par jour dans un atelier. En 2015, il avait indiqué au Dr C______ avoir une relation proche avec deux amis qu’il connaissait depuis son adolescence. Il décrivait un contact moins proche avec une dizaine d’amis. Il décrivait également des contacts réguliers avec ses parents et son frère. Par ailleurs, il faisait la cuisine, une partie du ménage ainsi les courses, conduisait et prenait les transports en commun. Selon le Dr C______, sans signe d’une simulation, le rôle de malade semblait maintenu par des bénéfices secondaires comme le soulagement de la confrontation avec ses difficultés à subvenir aux besoins de sa famille et d’un travail indépendant vécu comme contraignant ainsi que ses responsabilités en tant que père de famille. À l’appui de ses observations, l’intimé a transmis à la chambre de céans un avis médical du 7 mai 2018, dans lequel le docteur I______, médecin SMR indiquait qu'à la lecture des constatations objectives (status psychiatrique), on ne retrouvait aucun élément permettant de retenir les diagnostics retenus par l'expert. Une symptomatologie anxieuse sévère entraînait pour le moins des troubles cognitifs, mais les différents examens n’avaient jamais montré de telles limitations fonctionnelles chez le recourant. L'incapacité de travail total de 2011 à 2017 retenue par l'expert entrait en contradiction avec l'appréciation des autres médecins. Pour la capacité de travail actuelle, le Dr H______ ne retrouvait aucun élément objectif dans la description du status psychiatrique et n'avait mentionné aucun signe pathologique, en particulier au niveau anxieux. Il justifiait l’incapacité de travail totale par le risque d’une rechute éventuelle. Sans aucun élément objectifs au status relevé, ni aucune limitation fonctionnelle retrouvée, on ne pouvait pas comprendre les incapacités de travail retenues. Enfin l’expert ne s'était pas positionné sur les nombreuses incohérences relevées par le Dr C______. Il était difficilement concevable qu’avec les limitations importantes alléguées, le recourant ait pu entretenir une relation extra-conjugale en 2014, participer à une association de modélisme, faire un voyage d’agrément de quinze jours dans le Sud de la France et avoir des relations avec des amis et son frère. De même, au niveau de la conduite automobile, le nouvel expert signalait une abstention jusqu’en 2017, alors que, lors de la précédente en 2015, le recourant avait déclaré continuer à conduire. Le Dr C______ avait indiqué que celui-ci utilisait les transports en commun sans problème alors que pour le nouvel expert l’état anxieux justifiait une incapacité</w:t>
      </w:r>
    </w:p>
    <w:p>
      <w:r>
        <w:t>A/2824/2016 - 9/23 - totale. Enfin, il ressortait du dossier que l’assuré, malgré la sévérité alléguée, avait eu une compliance mauvaise aux différents traitements, avec un arrêt ou une diminution des doses par choix personnel. De même, il n’avait jamais été traité par le psychiatre supervisant la psychothérapie de Mme G______, alors qu’il était vu une à deux fois par semaine. En conclusion, on ne pouvait pas être convaincu par l’évaluation du Dr H______, en particulier en ce qui concernait les capacités de travail retenues. Au vu de la persistance sans interruption, hormis pendant des périodes non durables, du bon fonctionnement de l’assuré dans sa vie personnelle, on ne pouvait retenir d’incapacité de travail durable. En conséquence, on ne pouvait suivre les conclusions de la nouvelle expertise et il fallait s’en tenir à la précédente.</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du recourant à une rente d'invalidité entière, subsidiairement des mesures d'ordre professionnel, dès le 1er avril 2013.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w:t>
      </w:r>
    </w:p>
    <w:p>
      <w:r>
        <w:t>A/2824/2016 - 10/23 - traitements et les mesures de réadaptation, sur un marché du travail équilibré (art. 16 LPGA et art. 28 al. 2 LAI).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t>A/2824/2016 - 11/23 -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sont les suivants : a.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n’est pas une comorbidité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w:t>
      </w:r>
    </w:p>
    <w:p>
      <w:r>
        <w:t>A/2824/2016 - 12/23 -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9.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w:t>
      </w:r>
    </w:p>
    <w:p>
      <w:r>
        <w:t>A/2824/2016 - 13/23 -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A/2824/2016 - 14/23 -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w:t>
      </w:r>
    </w:p>
    <w:p>
      <w:r>
        <w:t>A/2824/2016 - 15/23 -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13. En l'espèce, il convient d'examiner en premier lieu la valeur probante de l'expertise judiciaire. a. Le rapport d’expertise se base sur l’étude approfondie du dossier médical du recourant, un examen clinique de plus de trois heures ainsi que des entretiens téléphoniques avec les psychiatres et la psychologue-psychothérapeute qui l'ont suivi. L'anamnèse est détaillée et les plaintes du recourant ont été prises en considération. L’appréciation de la situation médicale est claire et les conclusions de l'expert sont cohérentes et convaincantes de sorte que son rapport remplit les réquisits jurisprudentiels pour se voir accorder une pleine valeur probante. b. L'intimé a fait valoir que les diagnostics retenus par l'expert judiciaire n’étaient pas réalisés en procédant lui-même à une analyse des critères de la CIM-10 et en se fondant sur un bref avis médical du 7 mai 2018, dans lequel le Dr I______ – qui n'a pas de spécialisation en psychiatrie – indiquait seulement qu'à la lecture des constatations objectives, il n'y avait pas d'élément permettant d'établir ces diagnostics. L'appréciation à laquelle a procédé l'intimé, qui ne se fondait pas sur un rapport médical probant, ne saurait remettre sérieusement en cause le rapport d'expertise en tant qu'il retient les diagnostics de trouble panique et de trouble dépressif récurrent, épisode actuel sévère en rémission, étant précisé que l'expert</w:t>
      </w:r>
    </w:p>
    <w:p>
      <w:r>
        <w:t>A/2824/2016 - 16/23 - judiciaire a, pour sa part, exposé de manière détaillée les raisons pour lesquelles il retenait ces diagnostics dans le cas d'espèce. c. L'intimé a fait encore valoir que l’expert n'avait pas procédé à l’analyse des indicateurs applicables aux troubles psychiques développés par la jurisprudence. L'appréciation de ces critères étant de nature juridique, il convient de déterminer si le contenu du rapport d'expertise permet à la chambre de céans de les examiner. Le Dr H______ a, notamment, relevé que le syndrome dépressif dont souffre le recourant a varié d'intensité entre 2012 et 2015, passant de sévère, le plus souvent, à moyen et que celui-ci avait connu entre 2011 et 2016 des épisodes anxieux suraigus soudains et un trouble panique particulièrement sévère qui ont eu d'importantes répercussions fonctionnelles, telles que la nécessité de traitements hospitaliers répétés et le retrait quasi-total de la vie professionnelle et sociale. Il a précisé que le vécu particulièrement intense des paniques chez l’expertisé était à la fois épuisant et complétement désécurisant et que la dépersonnalisation était l’une des expériences les plus angoissantes qu’un sujet pouvait vivre et qu'elle laissait des traces durables et traumatiques dans la mémoire. Cette description de l'état psychique du recourant et de ses répercussion sur la vie de celui-ci permet de retenir le critère du degré de gravité fonctionnelle minimal. L'intimé a fait valoir qu'il n’y avait pas d’échec du traitement malgré une coopération optimale de l’assuré, dès lors que celui-ci avait mis fin à tout traitement et qu'en 2015, il avait refusé une augmentation du Seroquel lors du séjour à la Métairie et avait réduit la dose de cette médication à la moitié après sa sortie en poursuivant des thérapies à l’hôpital de jour limitées à une demi-journée par semaine et des consultations psychiatriques occasionnelles. À teneur du rapport de l'expert, les divers traitements pris par le recourant (antidépresseurs, tranquillisants, neuroleptiques, Lithium) n'ont pas eu d’effets durables sur lui et les benzodiazépines ont même aggravé ses angoisses, ce qui était plausible. Par ailleurs, si l’expertisé avait mis fin à tout traitement un an auparavant, son état s’était amélioré depuis lors. Par ailleurs, il ressort de la lettre de sortie établie par la clinique La Métairie du 6 août 2015 que le recourant n'avait pas souhaité une augmentation de son traitement de Seroquel, mais qu'il avait accepté l'introduction de Temesta, et que sa réticence au traitement psychopharmacologique semblait en lien avec la péjoration de son état psychique qu'il liait à la prise de plusieurs médications. Il aurait vécu des effets paradoxaux notamment avec le Stilnox et le Xanax et l'Efexor aurait eu un effet anxiogène. Dans ces circonstances, l'on ne peut pas relativiser la gravité de la pathologie du recourant au motif qu'il a refusé des traitements, car il avait des raisons de le faire. L'on ne peut pas non plus en tirer la conclusion que le recourant a négligé son traitement car il ne souffrait pas, l'expert ayant clairement indiqué que son état avait été particulièrement sévère et angoissant. Enfin, il est établi que le recourant a suivi</w:t>
      </w:r>
    </w:p>
    <w:p>
      <w:r>
        <w:t>A/2824/2016 - 17/23 - un traitement psychothérapeutique de manière régulière en 2012 et 2013, ce qui démontre sa compliance. Mme G______ a en outre précisé que s'il ne s'était pas présenté à des séances en 2015, c'était en raison de son trouble panique qui l'empêchait parfois de sortir de chez lui. S’agissant des comorbidités, l'expert a retenu des troubles mixtes de la personnalité (traits évitants et dépendants) existant depuis le début de l'âge adulte de l'assuré et précisé que ces troubles renforçaient les limitations fonctionnelles du recourant dues aux autres troubles. Le critère de la comorbidité est ainsi rempli. L'expert a relevé qu'une fragilité de la personnalité de l’expertisé était évoquée à plusieurs reprises dans le dossier et qu'il avait lui-même constaté plusieurs indices allant dans le même sens, notamment les difficultés du recourant à s’insérer durablement dans la vie active, une estime de soi fragile, une dépendance au tabac, des problèmes d’affirmation de soi et d’acquisition d’une véritable autonomie affective et matérielle vis-à-vis des proches. Le caractère mal structuré des symptômes anxieux était un autre argument de poids en faveur d’une mauvaise structuration de la personnalité elle-même. Enfin la durée et l’intensité exceptionnelles des symptômes anxieux suggéraient un rôle aggravant du terrain psychologique sur lequel s’était développé le trouble anxieux, autrement dit la personnalité. Le critère de la fragilité de la personnalité du recourant est ainsi rempli. S’agissant de la vie affective et sociale, il ressort de l’anamnèse que depuis ses problèmes de santé, le recourant avait abandonné les réunions de groupe en lien avec ses hobbies, soit le modélisme et la ludothèque dont il avait participé à la création. Il s'était également éloigné de plusieurs amis et n'avait plus envie de voyager. En raison de ses crises d’angoisses, il n’osait plus sortir de chez lui par peur de se sentir mal et sans secours à l’extérieur. Il en ressort que ses problèmes de santé ont eu un impact réel sur sa vie sociale, quand bien même il a conservé des liens avec sa proche famille et quelques amis. Les limitations de l'intéressé apparaissent uniformes dans tous les domaines comparables de la vie, dès lors qu'il n'a plus travaillé et qu'il a cessé ses activités de loisirs. Il convient encore de relever que l'expert a motivé les raisons pour lesquelles il a continué à retenir une incapacité de travail malgré l'amélioration de l'état de santé du recourant à partir du printemps 2017. En effet, le diagnostic de trouble panique restait d’actualité, même si l’expertisé n’avait plus fait d’attaques de panique depuis environ une année. On ne considérait que ce trouble était vraiment amendé que lorsque le sujet, non seulement ne faisait plus d’attaques de panique sévères, mais ne redoutait plus l’éventualité d’une nouvelle crise, car il savait les maîtriser. L’expertisé n’en n’était pas encore là. Il était encore dans la crainte qu’une nouvelle crise le plonge à nouveau dans les affres qu’il avait connues entre 2011 et 2015 et il n’avait pas développé beaucoup d’outils pour contrôler ces attaques. Par ailleurs, il restait des symptômes plus diffus d’anxiété (troubles du sommeil et manque de confiance en soi). Cela justifiait une capacité de travail de 50% dans l'activité</w:t>
      </w:r>
    </w:p>
    <w:p>
      <w:r>
        <w:t>A/2824/2016 - 18/23 - d'informaticien dès mai 2017 pour une durée indéterminée à réévaluer dans deux ans. Le contenu du rapport d'expertise permet ainsi l'analyse des critères développés par la jurisprudence pour déterminer si les troubles psychiques sont invalidants. L'analyse globale de la situation concrète du recourant confirme les conclusions de l'expert, en ce sens que les troubles psychiques dont il souffre ont été invalidants et le sont toujours dans une moindre mesure. Il convient ainsi de retenir, comme l'a fait l'expert, qu'en raison de ses troubles psychiques, le recourant a été en incapacité de travail totale de novembre 2011 à avril 2017 et à 50% dès mai 2017. 14.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usuels.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w:t>
      </w:r>
    </w:p>
    <w:p>
      <w:r>
        <w:t>A/2824/2016 - 19/23 - travailler, l'assuré était au chômage ou rencontrait d'ores et déjà des difficultés professionnelles en raison d'une dégradation progressive de son état de santé ou encore percevait une rémunération inférieure aux normes de salaire ou le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15.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La date de la modification doit être déterminée conformément à l'art. 88a RAI (ATF 131 V 164 consid. 2.2 ; 125 V 413</w:t>
      </w:r>
    </w:p>
    <w:p>
      <w:r>
        <w:t>A/2824/2016 - 20/23 - consid. 2d, arrêts du Tribunal fédéral 9C_344/2010 du 1er février 2011 consid. 4.2 et 9C_266/2010 du 8 octobre 2010 consid. 3.3). En vertu de l'art.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cas de suppression de la rente, elle intervient le dernier jour du mois pendant lequel le délai de trois mois prévu par l’art. 88a al. 1 RAI expire (arrêt du Tribunal fédéral 9C_900/2013 du 8 avril 2014 consid. 6.5). 16. a. En l'espèce, le recourant a un statut d'actif. Dans la mesure où il a été totalement incapable de travailler dès novembre 2011 et pendant plus d'un an, il est devenu invalide à 100% le 1er novembre 2012, ce qui lui ouvre le droit à une rente entière d'invalidité. Comme il a requis les prestations de l'assurance-invalidité le 29 octobre 2012, son droit au versement de la rente est né six mois plus tard, soit en avril 2013, et il a droit au versement de sa rente dès le 1er jour de ce mois. b. Dès mai 2017, sa capacité de travail a été évaluée à 50% dans l'activité d'informaticien pour une durée indéterminée à réévaluer dans deux ans. Il convient de procéder à la comparaison des revenus avant et après la survenance de la capacité de travail à 50%. Il se justifie pour déterminer le revenu sans invalidité de se référer aux données statistiques relatives à un informaticien salarié, conformément à ce qu'a retenu l'intimé, dès lors que l'activité d'indépendant n'est pas la plus adaptée pour le recourant et qu'elle n'a pas généré de gains en 2011, à teneur de l'avis de taxation relatif à cette année. Dès mai 2017, les revenus avec et sans invalidité sont ainsi basés sur la même tabelle statistique, de sorte qu'il est superflu de les chiffrer avec exactitude, le degré d’invalidité se confondant avec celui de l’incapacité de travail. Il convient toutefois de procéder à un abattement de 15% sur le revenu avec invalidité pour tenir compte du fait que le recourant ne peut travailler qu'à temps partiel (arrêts du Tribunal fédéral 9C_728/2009 du 21 septembre 2010 consid. 4.3.2 et 9C_35/2015 du 19 août 2015) et de son éloignement du marché du travail durant plusieurs années, ce qui est susceptible d'avoir une influence négative sur son salaire. Il en résulte que son taux d'invalidité dès mai 2017 est de 65%, ce qui lui ouvre le droit à un trois-quarts de rente d'invalidité, en vertu de l’art. 28 al. 2 LAI, trois mois plus tard, soit dès le 1er août 2017. 17. Il convient encore d'examiner si le recourant a droit à des mesures d’ordre professionnel et à la prise en charge par l'intimé des frais de formation ou de reconversion professionnelles engendrés par son invalidité, conformément aux conclusions subsidiaires de son recours.</w:t>
      </w:r>
    </w:p>
    <w:p>
      <w:r>
        <w:t>A/2824/2016 - 21/23 -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Selon l’art. 8a LAI, les bénéficiaires de rente ont droit à des mesures de nouvelle réadaptation si leur capacité de gain peut, selon toute vraisemblance, être améliorée et ces mesures sont de nature à améliorer leur capacité de gain (al. 1). Les mesures de nouvelle réadaptation destinées aux bénéficiaires de rente comprennent des mesures de réinsertion préparant à la réadaptation professionnelle telles que prévues à l’art. 14a al. 2 LAI, des mesures d’ordre professionnel telles que prévues aux</w:t>
      </w:r>
    </w:p>
    <w:p>
      <w:r>
        <w:t>A/2824/2016 - 22/23 - art. 15 à 18c LAI, la remise de moyens auxiliaires conformément aux art. 21 à 21quater LAI, l’octroi de conseils et d’un suivi aux bénéficiaires de rente et à leur employeur (al. 2). Les mesures de réinsertion peuvent être accordées plusieurs fois et excéder la durée d’un an au total (al. 3). L’art. 14a LAI prévoit, en tant que droit, des mesures de réinsertion préparant à la réadaptation professionnelle, en faveur d’assurés qui présentent depuis six mois au moins une incapacité de travail de 50 % au moins, pour autant que ces mesures – à savoir des mesures socioprofessionnelles et des mesures d’occupation – servent à créer les conditions permettant la mise en œuvre de mesures d’ordre professionnel (Pierre-Yves GREBER, L’assurance-vieillesse, survivants et invalidité, in Droit suisse de la sécurité sociale, vol. I, 2010, éd. par Pierre-Yves GREBER / Bettina KAHIL-WOLFF / Ghislaine FRÉSARD-FELLAY / Romolo MOLO, p. 137 ss, n. 254 ss). b. En l'espèce, une mesure de réadaptation pourrait se justifier, dès lors que le recourant est resté relativement longtemps éloigné du marché du travail et vu sa profession d'informaticien qui évolue rapidement, de sorte que la cause sera renvoyée à l'OAI pour nouvelle décision sur ce point. 18. Au vu des considérations qui précèdent, le recours sera admis et la décision querellée annulée. Vu l’issue du litige, un émolument de CHF 500.- sera mis à la charge de l'intimé (art. 69 al. 1bis LAI) et une indemnité de CHF 4’000.- sera accordée au recourant, à charge de l’intimé, à titre de participation à ses frais et dépens (art. 61 let. g LPGA; art. 6 du règlement sur les frais, émoluments et indemnités en matière administrative du 30 juillet 1986 [RFPA - E 5 10.03]).</w:t>
      </w:r>
    </w:p>
    <w:p>
      <w:r>
        <w:t>A/2824/2016 - 23/23 -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