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ATAS/1003/2015 vom 22. Dezember 2015</w:t>
      </w:r>
    </w:p>
    <w:p>
      <w:r>
        <w:t>GE Cour de justice, 2015-12-22, FR</w:t>
      </w:r>
    </w:p>
    <w:p>
      <w:r>
        <w:rPr>
          <w:b/>
        </w:rPr>
        <w:t xml:space="preserve">Quelle: </w:t>
      </w:r>
      <w:r>
        <w:t>https://mcp.opencaselaw.ch/entscheid/ge_gerichte_ATAS_1003_2015</w:t>
      </w:r>
    </w:p>
    <w:p>
      <w:r>
        <w:t>FR: GE_GERICHTE ATAS/1003/2015 du 22 décembre 2015</w:t>
      </w:r>
    </w:p>
    <w:p>
      <w:r>
        <w:t>IT: GE_GERICHTE ATAS/1003/2015 del 22 dicembre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A/2176/2015 - 8/17 - assurances sociales, du 6 octobre 2000 (LPGA - RS 830.1) relatives à la loi fédérale sur l’assurance-invalidité du 19 juin 1959 (LAI - RS 831.20). Sa compétence pour juger du cas d’espèce est ainsi établie.</w:t>
      </w:r>
    </w:p>
    <w:p>
      <w:r>
        <w:rPr>
          <w:b/>
        </w:rPr>
        <w:t>E. 2</w:t>
      </w:r>
    </w:p>
    <w:p>
      <w:r>
        <w:t>Se pose en premier lieu la question de la recevabilité du recours, interjeté plus de 30 jours après sa notification. Celle-ci est toutefois intervenue au mépris de l’élection de domicile signifiée par l’assuré. La notification irrégulière d'une décision ne doit entraîner aucun préjudice pour les parties (art. 38 PA). Cependant, la jurisprudence n'attache pas nécessairement la nullité à l'existence de vices dans la notification;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p. 99, 111 V 149 consid. 4c p. 150 et les références; arrêt C 196/00 du 10 mai 2001 consid. 3a et les références, in DTA 2002 p. 65). Cela signifie notamment qu'une décision, fût-elle notifiée de manière irrégulière, peut entrer en force si elle n'est pas déférée au juge dans un délai raisonnable (arrêt I 982/06 du 17 juillet 2007, citant SJ 2000 I p. 118 consid. 4). Le Tribunal fédéral a eu l'occasion de préciser dans quel délai une partie est tenue d'attaquer une décision lorsque celle-ci n'est pas notifiée à son représentant - dont l'existence est connue de l'autorité -, mais directement en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(arrêt C 168/00 du 13 février 2001 consid. 3c, résumé in RSAS 2002 p. 509; arrêt C 196/00 précité consid. 3a). Cette pratique a été confirmée récemment, à la lumière de la CEDH et de la LPGA (arrêt 9C_85/2011 du 17 janvier 2012 consid. 6.2, 6.3 et 6.8). En l’occurrence, le recours a été interjeté dans le délai prévu par la jurisprudence. Il est, partant, recevable.</w:t>
      </w:r>
    </w:p>
    <w:p>
      <w:r>
        <w:rPr>
          <w:b/>
        </w:rPr>
        <w:t>E. 3</w:t>
      </w:r>
    </w:p>
    <w:p>
      <w:r>
        <w:t>Le litige porte sur le droit de l’assuré à une rente d’invalidité au-delà du 30 avril 2014.</w:t>
      </w:r>
    </w:p>
    <w:p>
      <w:r>
        <w:rPr>
          <w:b/>
        </w:rPr>
        <w:t>E. 4</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Tout changement important des circonstances propre à influencer le</w:t>
      </w:r>
    </w:p>
    <w:p>
      <w:r>
        <w:t>A/2176/2015 - 9/17 -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(arrêt du Tribunal fédéral des assurances du 13 juillet 2006, I 406/05 consid. 4.1).</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arrêt du Tribunal fédéral des assurances I 786/04 du 19 janvier 2006 consid. 3.1).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w:t>
      </w:r>
    </w:p>
    <w:p>
      <w:r>
        <w:t>A/2176/2015 - 10/17 -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w:t>
      </w:r>
    </w:p>
    <w:p>
      <w:r>
        <w:t>A/2176/2015 - 11/17 -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La fonction d’une observation professionnelle est de compléter les données médicales en examinant concrètement dans quelle mesure l'assuré est à même de mettre en valeur une capacité de travail et de gain sur le marché du travail (voir au surplus, à propos du rôle des COPAI pour l'évaluation de l'invalidité : L'instruction des possibilités de gain des personnes prétendant une rente, compte-rendu d'une séance du 10 novembre 1989 consacrée aux problèmes de l'expertise médicale et professionnelle, RCC 1990 p. 59 ss; Karl ABEGG, Coup d’œil sur l'activité des centres d'observation professionnelle de l'AI [COPAI]; PLÄDOYER 3/2004 p. 64 ; arrêt du Tribunal fédéral des assurances I 540/03 du 10 novembre 2004 consid. 4.1 ; arrêt du Tribunal fédéral des assurances I 220/04 du 20 septembre 2004 consid. 4.2). Le médecin, quant à lui, a pour tâche de porter un jugement sur l'état de santé et d’indiquer dans quelle mesure et pour quelles activités l'assuré est incapable de travailler. Selon la jurisprudence,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 personne assurée pendant le stage (arrêt 9C_891/2012 du 5 avril 2013 consid. 3; arrêt I 762/02 du 6 mai 2003 consid. 2). En d’autres termes, il appartient avant tout aux médecins, et non aux spécialistes de l'orientation professionnelle, de se prononcer sur la capacité de travail d'un assuré souffrant d'une atteinte à la santé et sur les éventuelles limitations résultant de celle- ci. Au regard de la collaboration, étroite, réciproque et complémentaire selon la jurisprudence, entre les médecins et les organes d'observation professionnelle (cf. ATF 107 V 17 consid. 2b p. 20), on ne saurait toutefois dénier toute valeur aux renseignements d'ordre professionnel recueillis à l'occasion d'un stage pratique pour apprécier la capacité résiduelle de travail de l'assuré en cause.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(arrêt du</w:t>
      </w:r>
    </w:p>
    <w:p>
      <w:r>
        <w:t>A/2176/2015 - 12/17 - Tribunal fédéral 9C_739/2010 du 1er juin 2011 consid. 2.3 et 9C_1035/2009 du 22 juin 2010, consid. 4.1 in SVR 2011 IV n° 6 p. 17, et arrêt du Tribunal fédéral des assurances I 35/03 du 24 octobre 2003, consid. 4.3 et les références in Plädoyer 2004/3 p. 64). Dans un arrêt du 22 juin 2010, le Tribunal fédéral a reproché aux juges cantonaux, de s’être écartés des conclusions du rapport d’observation professionnelle en faveur de l’évaluation médicale. Ceux-ci avaient considéré que les constatations faites durant le stage professionnel étaient essentiellement subjectives et ne pouvaient, partant, l’emporter sur celles des médecins. Dans ce cas, les responsables du stage étaient arrivés à la conclusion que l’assuré ne pouvait être réadapté dans l’économie libre, qu’il lui était impossible de réintégrer le circuit économique ordinaire, en raison du cumul des limitations, alors que les médecins estimaient que l’assuré présentait une capacité de travail de 75% dans une activité adaptée. Le Tribunal fédéral a jugé que, compte tenu du fait que tant le rapport d’observation professionnelle que ceux des médecins concordaient en ce qui concernait les limitations fonctionnelles, on ne pouvait considérer que les facteurs personnels constituaient des éléments prédominants par rapport aux autres causes directement liées aux capacités physiques de l'intéressé et que ces dernières causes étaient négligeables en soi. Aussi a-t-il retenu que, compte tenu des limitations fonctionnelles, même en prenant en considération le large éventail d'activités simples et répétitives ne nécessitant pas de formation dans les secteurs de la production et des services, les possibilités d'un emploi adapté aux importantes limitations du recourant n'apparaissaient pas suffisantes pour que celui-ci puisse mettre en valeur sa capacité de travail résiduelle sur le plan économique dans une mesure significative. Le Tribunal fédéral a ainsi admis une incapacité de travail de 100% (arrêt du 22 juin 2010, 9C_1035/2009 ; cf. également arrêt du 22 septembre 2010, 9C_1066/2009). Dans un arrêt plus récent du 16 janvier 2014, le TF a confirmé qu’on ne saurait dénier toute valeur aux renseignements d'ordre professionnel recueillis à l'occasion d'un stage pratique pour apprécier la capacité résiduelle de travail de l'assuré en cause, et a répété que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9C_512/2013 ; cf. également ATAS/562/2013).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A/2176/2015 - 13/17 -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7</w:t>
      </w:r>
    </w:p>
    <w:p>
      <w:r>
        <w:t>En l’espèce, l’OAI a limité le droit de l’assuré à la rente au 30 avril 2014. Il a admis le droit de l’assuré à un quart de rente du 1er novembre 2012 – début du délai d’attente d’une année - au 31 janvier 2013, et à une rente entière du 1er février 2013 au 30 avril 2014. Il a considéré que dès le 1er mai 2014, le degré d’invalidité était de 27%, soit un degré insuffisant pour maintenir le droit à la rente. L’OAI s’est fondé sur l’avis du SMR du 9 septembre 2014, selon lequel l’assuré a recouvré une capacité de travail entière dès le 9 janvier 2014, ce dans une activité adaptée. Le SMR s’est lui-même référé aux conclusions de la CRR du 13 janvier 2014 et sur la position de la SUVA. Il sied ainsi de rappeler que selon les médecins de la CRR, l’assuré présentait une incapacité de travail de 100% du 3 décembre 2013 au 12 janvier 2014 et de 50% dès le 13 janvier 2014 dans son ancien travail de serveur. Les médecins de la CRR ont ensuite prévu une augmentation progressive de la capacité de travail sur les quatre à six semaines suivantes. Ils ont constaté que « Les plaintes et limitations fonctionnelles ne s’expliquent pas uniquement par les lésions objectives constatées pendant le séjour. Des facteurs contextuels influencent négativement les aptitudes fonctionnelles rapportées par le patient principalement une focalisation assez importante sur la douleur. On note aussi une situation contextuelle précaire qui pourrait ralentir la réinsertion du patient ». La SUVA a ainsi retenu que l’assuré présentait les incapacités de travail suivantes, dans une activité adaptée : - 100% du 17 septembre 2012 au 12 janvier 2014 - 50% du 13 janvier 2014 au 12 février 2014 ; - 25% du 13 février 2014 au 12 mars 2014 ;</w:t>
      </w:r>
    </w:p>
    <w:p>
      <w:r>
        <w:t>A/2176/2015 - 14/17 - - 0% dès le 13 mars 2014. et a mis un terme au versement de ses prestations avec effet au 13 mars 2014.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 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 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 Récemment, le Tribunal fédéral a admis la réciprocité de cette règle à l'égard de l'assurance-invalidité en jugeant que celle-ci n'était pas liée par l'évaluation de l'invalidité de l'assurance-accidents au sens de l'ATF 126 V 288. Selon l'art. 18 al. 1er LAA, si l’assuré est invalide (art. 8 LPGA) à 10% au moins par suite d’un accident, il a droit à une rente d’invalidité. Il y a à cet égard lieu de souligner que les médecins de la CRR ont été mandatés par la SUVA, et ont examiné l’assuré dans le cadre de l’assurance-accidents. Il s’agit en l’espèce d’évaluer la capacité de travail de l’assuré dans son ensemble.</w:t>
      </w:r>
    </w:p>
    <w:p>
      <w:r>
        <w:rPr>
          <w:b/>
        </w:rPr>
        <w:t>E. 8</w:t>
      </w:r>
    </w:p>
    <w:p>
      <w:r>
        <w:t>L’assuré conteste le rapport des médecins de la CRR, selon lequel il disposerait d’une capacité de travail exigible de 100% dans une activité adaptée après le 30 avril 2014. Il fait état d’un rapport établi par l’entreprise PRO le 29 août 2014, dont il résulte qu’avec un taux de capacité de 75%, son rendement en qualité était de 55% et en temps de 47%. L’entreprise PRO en a conclu qu’un tel taux d’activité, compte tenu des limitations actuelles de l’assuré, était trop élevé et peu réaliste.</w:t>
      </w:r>
    </w:p>
    <w:p>
      <w:r>
        <w:t>A/2176/2015 - 15/17 -</w:t>
      </w:r>
    </w:p>
    <w:p>
      <w:r>
        <w:rPr>
          <w:b/>
        </w:rPr>
        <w:t>E. 9</w:t>
      </w:r>
    </w:p>
    <w:p>
      <w:r>
        <w:t>Force est de constater que l'appréciation de la capacité de travail donnée par les évaluateurs de l'entreprise PRO et celle des médecins divergent sensiblement. Il est vrai qu’en principe,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(arrêt du Tribunal fédéral I 762/02). On ne saurait toutefois dénier toute valeur aux renseignements d'ordre professionnel recueillis à l'occasion d'un stage pratique pour apprécier la capacité résiduelle de travail de l'assuré en cause. Le Tribunal fédéral a à cet égard considéré que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9C_512/2013 ; cf. également ATAS/562/2013). Il convient à cet égard de relever que dans l’arrêt du Tribunal fédéral susmentionné (I 762/02), expressément invoqué par l’OAI, les médecins du COMAI avaient eu la possibilité d’expliquer pour quelles raisons ils s’écartaient de l’estimation faite par les maîtres d’ateliers. C’est ce qui avait conduit le Tribunal fédéral à préférer l’avis médical. Or, tel n’est pas le cas en l’espèce, le stage au sein de l’entreprise PRO s’étant déroulé après l’expertise CRR. Contrairement à ce que soutient l’OAI, on ne saurait sans autre écarter les conclusions du rapport de l’entreprise PRO au motif qu'elles seraient influencées par les plaintes forcément subjectives de l'assuré, ce d’autant moins qu’il est, à plusieurs reprises, souligné dans ce rapport que l’assuré se montre volontaire et ne ménage pas ses efforts pour bien faire son travail. Les auteurs du rapport de l’entreprise PRO ont fait état de limitations physiques ignorées par les médecins de la CRR, en indiquant plus particulièrement que l’assuré était non fonctionnel pour tout travail en force avec ses mains, comme par exemple le serrage en force de pièces mécaniques. Force est de constater en l’espèce que les conclusions des médecins de la CRR sont ainsi mises en doute par l'appréciation faite dans le cadre des ateliers de l’entreprise PRO selon laquelle « un travail même adapté illisible 1er marché, avec un taux d’activité de 75%, avec les limitations actuelles de l’assuré, est trop élevé et peu réaliste ». La capacité de travail de l'assuré au-delà du 30 avril 2014 apparaît ainsi difficile à déterminer en l'état du dossier. Dans la mesure où les conditions de la révision au sens de l'art. 17 LPGA s'appliquent à la décision par laquelle une rente échelonnée ou limitée dans le temps est accordée à la personne assurée, la modification du droit à la rente entière - réduction ou suppression - suppose une modification des circonstances, soit une</w:t>
      </w:r>
    </w:p>
    <w:p>
      <w:r>
        <w:t>A/2176/2015 - 16/17 - amélioration de l'atteinte à la santé susceptible de rétablir sa capacité de gain. Or, dans son avis du 9 septembre 2014, le SMR retient les mêmes limitations fonctionnelles que celles déjà constatées en 2006 en y ajoutant même un port de charges limité à 15 kilos (et non plus à 20 kilos). Le rapport de l’entreprise PRO en décrit de nouvelles liées aux mains. Il en résulte que l’assuré se heurte à davantage de limitations fonctionnelles qu’avant, de sorte qu’il est raisonnable de se demander si une amélioration au sens de l’art. 17 LPGA est véritablement intervenue.</w:t>
      </w:r>
    </w:p>
    <w:p>
      <w:r>
        <w:rPr>
          <w:b/>
        </w:rPr>
        <w:t>E. 10</w:t>
      </w:r>
    </w:p>
    <w:p>
      <w:r>
        <w:t>En conséquence et vu la jurisprudence du Tribunal fédéral, il y a lieu d’admettre partiellement le recours, et de renvoyer la cause à l'OAI pour qu'il complète l'instruction, en sollicitant plus particulièrement, l'avis des experts de la CRR sur les conclusions du rapport de l’entreprise PRO, notamment sur les divergences quant aux limitations effectives présentées par l’assuré, quant à sa capacité de travail et quant au type d'activité adaptée qu'il serait, le cas échéant, à même d'exécuter. On notera à cet égard que les médecins de la CRR n'ont pas donné d'exemples concrets de postes de travail qui seraient à portée de l'assuré au vu des limitations retenues.</w:t>
      </w:r>
    </w:p>
    <w:p>
      <w:r>
        <w:t>A/2176/2015 - 17/17 -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