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ATAS/1002/2020 vom 26. Oktober 2020</w:t>
      </w:r>
    </w:p>
    <w:p>
      <w:r>
        <w:t>GE Cour de justice, 2020-10-26, FR</w:t>
      </w:r>
    </w:p>
    <w:p>
      <w:r>
        <w:rPr>
          <w:b/>
        </w:rPr>
        <w:t xml:space="preserve">Quelle: </w:t>
      </w:r>
      <w:r>
        <w:t>https://mcp.opencaselaw.ch/entscheid/ge_gerichte_ATAS_1002_2020</w:t>
      </w:r>
    </w:p>
    <w:p>
      <w:r>
        <w:t>FR: GE_GERICHTE ATAS/1002/2020 du 26 octobre 2020</w:t>
      </w:r>
    </w:p>
    <w:p>
      <w:r>
        <w:t>IT: GE_GERICHTE ATAS/1002/2020 del 26 ottobre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1.5</w:t>
      </w:r>
    </w:p>
    <w:p>
      <w:r>
        <w:t>% de 2012 à 2013, 1.75 % de 2014 à 2015, 1.25 % en 2016 et 1 % dès le 1er janvier 2017. Les intérêts dus aux demandeurs sur la somme existant au jour du mariage ont déjà été calculés par les institutions de prévoyance défenderesses.</w:t>
      </w:r>
    </w:p>
    <w:p>
      <w:r>
        <w:rPr>
          <w:b/>
        </w:rPr>
        <w:t>E. 2</w:t>
      </w:r>
    </w:p>
    <w:p>
      <w:r>
        <w:t>L’art. 22 LFLP prévoit qu’en cas de divorce, les prestations de sortie et les parts de rente sont partagées conformément aux art. 122 à 124e du Code civil (CC) et 280 et 281 du Code de procédure civile (CPC).</w:t>
      </w:r>
    </w:p>
    <w:p>
      <w:r>
        <w:rPr>
          <w:b/>
        </w:rPr>
        <w:t>E. 3</w:t>
      </w:r>
    </w:p>
    <w:p>
      <w:r>
        <w:t>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w:t>
      </w:r>
    </w:p>
    <w:p>
      <w:r>
        <w:t>A/92/2019 5/8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En cas de divorce ou de dissolution judiciaire du partenariat enregistré avant la survenance d'un cas de prévoyance, le versement anticipé est considéré comme une prestation de libre passage ; il est partagé conformément aux art. 123 CC, 280 et 281 CPC et 22 à 22b LFLP (art. 30c LPP). Si un versement anticipé pour la propriété du logement au sens des art. 30c LPP et 331e de la loi fédérale du 30 mars 1911, complétant le Code civil suisse (CO, Code des obligations - RS 220) a été effectué durant le mariage, la diminution de capital et la perte d'intérêts sont répartis proportionnellement entre l'avoir de prévoyance acquis avant le mariage et l'avoir constitué durant le mariage jusqu'au moment du versement (art. 22a al. 3 LFLP).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4</w:t>
      </w:r>
    </w:p>
    <w:p>
      <w:r>
        <w:t>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al. 1 CC). Une indemnité équitable est due lorsqu'un cas de prévoyance est déjà survenu pour l'un des époux ou pour les deux ou que les prétentions en matière de prévoyance professionnelle acquises durant le mariage ne peuvent être partagées pour d'autres motifs (art. 124 al. 1 CC). Selon l'art. 22b al. 1 et 2 LFLP, lorsqu'une indemnité équitable est versée à l'un des époux en vertu de l'art. 124 CC, le jugement de divorce peut prescrire qu'une partie de la prestation de sortie sera imputée sur l'indemnité équitable (al. 1). Le juge notifie d'office à l'institution de prévoyance le montant à transférer et lui fournit les indications nécessaires au maintien de la prévoyance ; pour le transfert, les art. 3 à 5 sont applicables par analogie (al. 2).</w:t>
      </w:r>
    </w:p>
    <w:p>
      <w:r>
        <w:t>A/92/2019 6/8 L’art. 25a al. 1 LFLP précise que si une décision concernant le partage de la prévoyance professionnelle en application de l'art. 280 ou 281 CPC s'avère impossible à prendre durant la procédure de divorce, le juge du lieu du divorce compétent au sens de l'art. 73 al. 1 LPP exécute d'office, après que l'affaire lui a été transmise (art. 281 al. 3 CPC), le partage sur la base de la clé de répartition déterminée par le juge du divorce. S'il s'agit d'une action en complément d'un jugement de divorce étranger, le lieu de l'action en complément est considéré comme lieu du divorce (art. 64 de la LF du 18 décembre 1987 sur le droit international privé). Est réservé le cas où le juge des assurances sociales constate que le partage des prestations de sortie au sens de l'art. 122 CC est impossible en raison de la survenance d'un cas de prévoyance. Il doit alors transmettre d'office la cause au juge du divorce comme objet de sa compétence (ATF 136 V 225). Les dispositions légales applicables aux prétentions découlant de la prévoyance professionnelle en cas de divorce opèrent une distinction selon qu'un cas de prévoyance est survenu ou non.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d'une invalidité, qui entraîne le droit à des prestations d'une institution de prévoyance, rend impossible le partage des avoirs de prévoyance, si minimes soient les prestations versées ou les avoirs à leur base (consid. 4.1 non publié de l'ATF 136 V 225 et les références), de sorte que l'art. 124 CC est applicable. Cette disposition s'applique cependant aussi lorsqu'aucun cas de prévoyance n'est survenu, mais que le partage n'est pas possible « pour d'autres motifs ». Ce qui est dès lors déterminant pour délimiter les prétentions selon l'art. 122 et l'art. 124 CC, c'est le point de savoir si le partage des prestations de sortie est techniquement possible sans réserve (ATF 129 III 481 consid. 3.2.1 in fine p. 484 ; ATF 9C_515/2011 du 12 octobre 2011, consid. 4.1 et 6.1; ATAS/812/2018 consid.4). Toutefois, lorsque la survenance de l'âge de la retraite ou d'une invalidité concerne un époux qui n'est pas affilié à une institution de prévoyance professionnelle, un cas de prévoyance n'est pas survenu au sens de la loi (arrêt du Tribunal fédéral des assurances B 19/03 du 30 janvier 2004 consid. 5.1).</w:t>
      </w:r>
    </w:p>
    <w:p>
      <w:r>
        <w:rPr>
          <w:b/>
        </w:rPr>
        <w:t>E. 5</w:t>
      </w:r>
    </w:p>
    <w:p>
      <w:r>
        <w:t>En l’espèce, le juge de première instance a ordonné le partage par moitié des prestations de sortie acquises durant le mariage par les demandeurs. Les dates pertinentes sont, d’une part, celle du mariage, le 19 décembre 1990, d’autre part le 11 juillet 2018, date à laquelle la demande en divorce a été déposée. Force est ainsi de constater que le demandeur est à la retraite (cas de prévoyance) et bénéficie de la rente y relative depuis le 1er septembre 2013, c'est-à-dire antérieurement au dépôt de la demande en divorce du 11 juillet 2018, ce qui rend</w:t>
      </w:r>
    </w:p>
    <w:p>
      <w:r>
        <w:t>A/92/2019 7/8 impossible le partage des avoirs de prévoyance (cf. ATAS/515/2007 du 15 mai 2007).</w:t>
      </w:r>
    </w:p>
    <w:p>
      <w:r>
        <w:rPr>
          <w:b/>
        </w:rPr>
        <w:t>E. 6</w:t>
      </w:r>
    </w:p>
    <w:p>
      <w:r>
        <w:t>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131 III 1 consid. 4.2 p. 4 et la référence). Les besoins personnels ou la capacité contributive du débiteur, ou encore les besoins de prévoyance du bénéficiaire constituent des critères qu'il convient spécialement d'examiner (ATF 133 III 401 consid. 3.2 p. 404).</w:t>
      </w:r>
    </w:p>
    <w:p>
      <w:r>
        <w:rPr>
          <w:b/>
        </w:rPr>
        <w:t>E. 7</w:t>
      </w:r>
    </w:p>
    <w:p>
      <w:r>
        <w:t>Au vu de ce qui précède, il convient de constater que le partage des prestations n'est plus possible, un cas de prévoyance étant survenu avant le dépôt de la demande en divorce (art. 124 CC et jurisprudence précitée). La cause sera transmise d’office au Tribunal de première instance (arrêt du Tribunal fédéral 9C_737/2010).</w:t>
      </w:r>
    </w:p>
    <w:p>
      <w:r>
        <w:rPr>
          <w:b/>
        </w:rPr>
        <w:t>E. 8</w:t>
      </w:r>
    </w:p>
    <w:p>
      <w:r>
        <w:t>Aucun émolument ne sera perçu, la procédure étant gratuite (art. 73 al. 2 LPP et 89H al. 1 de la loi sur la procédure administrative du 12 septembre 1985 (LPA - GE - E 5 10). ***</w:t>
      </w:r>
    </w:p>
    <w:p>
      <w:r>
        <w:t>A/92/2019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