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ATAS/1001/2018 vom 29. Oktober 2018</w:t>
      </w:r>
    </w:p>
    <w:p>
      <w:r>
        <w:t>GE Cour de justice, 2018-10-29, FR</w:t>
      </w:r>
    </w:p>
    <w:p>
      <w:r>
        <w:rPr>
          <w:b/>
        </w:rPr>
        <w:t xml:space="preserve">Quelle: </w:t>
      </w:r>
      <w:r>
        <w:t>https://mcp.opencaselaw.ch/entscheid/ge_gerichte_ATAS_1001_2018</w:t>
      </w:r>
    </w:p>
    <w:p>
      <w:r>
        <w:t>FR: GE_GERICHTE ATAS/1001/2018 du 29 octobre 2018</w:t>
      </w:r>
    </w:p>
    <w:p>
      <w:r>
        <w:t>IT: GE_GERICHTE ATAS/1001/2018 del 29 ottobre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de trois jours du droit à l'indemnité de la recourante.</w:t>
      </w:r>
    </w:p>
    <w:p>
      <w:r>
        <w:rPr>
          <w:b/>
        </w:rPr>
        <w:t>E. 4</w:t>
      </w:r>
    </w:p>
    <w:p>
      <w:r>
        <w:t>Selon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let. a et b LACI, l’assuré a l’obligation, lorsque l’autorité compétente le lui enjoint, de participer aux mesures relatives au marché du travail propres à améliorer son aptitude au placement (let. a) ; aux entretiens de conseil, aux réunions d’information et aux consultations spécialisées (let. b).</w:t>
      </w:r>
    </w:p>
    <w:p>
      <w:r>
        <w:rPr>
          <w:b/>
        </w:rPr>
        <w:t>E. 5</w:t>
      </w:r>
    </w:p>
    <w:p>
      <w:r>
        <w:t>a.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w:t>
      </w:r>
    </w:p>
    <w:p>
      <w:r>
        <w:t>A/2910/2018 - 6/8 - Arbeitslosenversicherung, in Soziale Sicherheit, SBVR vol. XIV, 2ème éd. 2007, p. 2424 n. 825). La durée de la suspension est proportionnelle à la gravité de la faute (art. 30 al. 3 LACI). L’OACI prévoit trois catégories de fautes (légères, moyennes et graves) et, pour chacune de ces catégories, une durée minimale et maximale de suspension, qui est de 1 à 15 jours en cas de faute légère, de 16 à 30 jours en cas de faute moyenne, et 31 à 60 jours en cas de faute grave (art. 45 al. 3 OACI). La présence d'antécédents permet de retenir la faute grave, même pour des manquements qui, pris isolément, relèveraient de la faute moyenne ou de la faute légère (Boris RUBIN, Commentaire de la loi sur l'assurance-chômage, 2014, ch. 114 et 120 ad art. 30). Par ailleurs, des antécédents remontant à moins de deux ans justifient une prolongation de la durée de suspension (art. 45 al. 5 OACI). b. En tant qu'autorité de surveillance, le Secrétariat d’État à l’économie (ci-après : SECO) a adopté un barème indicatif à l'intention des organes d'exécution (Bulletin LACI/D79).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Il résulte du barème précité que lorsque l’assuré n’observe pas les instructions de l’OCE, l’autorité doit infliger une sanction de trois à dix jours lors du premier manquement et de 10 jours au minimum lors du second manquement, un renvoi pour décision à l’autorité cantonale étant prévu en cas de troisième manquement (Bulletin LACI IC / D79 ch. 3B).</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A/2910/2018 - 7/8 -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7</w:t>
      </w:r>
    </w:p>
    <w:p>
      <w:r>
        <w:t>En l’occurrence, la recourante a été convoquée par courriel à un entretien auprès de GBN le 20 mars 2018 à 14h, auquel elle ne s’est pas rendue, ce qui constitue une inobservation fautive des instructions de l’intimé. La recourante invoque le fait qu’elle aurait averti sa conseillère en personnel, lors de l’entretien du 12 mars 2018, qu’elle ne pourrait pas se rendre au rendez-vous fixé chez GBN. Au vu des pièces du dossier, dont le procès-verbal de l’entretien de conseil du 12 mars 2018, aucune demande de report dudit entretien, voire d’annulation de celui- ci, n’a cependant été formée par la recourante, laquelle, lors de l’audience du 15 octobre 2018, a d’ailleurs précisé que sa conseillère en personnel, informée du cours qu’elle devait dispenser à l’Ecole Hôtelière de Lausanne, aurait dû se charger d’annuler l’entretien prévu chez GBN. Il apparaît ainsi que la recourante ne s’est pas préoccupée de la suite qui était donnée à sa convocation, partant du principe que sa conseillère en personnel devait comprendre qu’un entretien chez GBN était incompatible avec la préparation d’un cours à dispenser le 21 ou le 22 mars 2018. Or, à cet égard, comme précisé lors de l’audience du 15 octobre 2018 par la représentante de l’intimé, l’entretien programmé chez GBN était court dès lors qu’il s’agissait uniquement d’évaluer si un cours d’anglais allait pouvoir être donné à la recourante, de sorte qu’il était exigible de celle-ci, alors qu’elle disposait de huit jours pour préparer son cours d’espagnol, qu’elle participe à l’entretien du 20 mars 2018 et cela quand bien même elle considérait qu’une mesure plus appropriée aurait dû être ordonnée par l’intimé. Dans ces conditions, la conseillère en personnel de la recourante n’avait aucune raison de reporter l’entretien prévu chez GBN. Quoi qu’il en soit, si la recourante estimait ne pas pouvoir se rendre au rendez-vous chez GBN, il lui incombait, à tout le moins, de contacter cette société afin d’obtenir un report d’entretien, procédure admise par l’intimé, comme l’a confirmé sa représentante lors de l’audience du 15 octobre 2018, ce que la recourante a omis de faire.</w:t>
      </w:r>
    </w:p>
    <w:p>
      <w:r>
        <w:rPr>
          <w:b/>
        </w:rPr>
        <w:t>E. 8</w:t>
      </w:r>
    </w:p>
    <w:p>
      <w:r>
        <w:t>Au vu de ce qui précède, la sanction litigieuse, qui correspond au minimum prévu par le Bulletin LACI précité, respecte le principe de la proportionnalité et ne peut qu’être confirmée. Partant, le recours sera rejeté. Pour le surplus, la procédure est gratuite.</w:t>
      </w:r>
    </w:p>
    <w:p>
      <w:r>
        <w:t>A/2910/2018 - 8/8 -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