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ATAS/1001/2010 vom 4. Oktober 2010</w:t>
      </w:r>
    </w:p>
    <w:p>
      <w:r>
        <w:t>GE Cour de justice, 2010-10-04, FR</w:t>
      </w:r>
    </w:p>
    <w:p>
      <w:r>
        <w:rPr>
          <w:b/>
        </w:rPr>
        <w:t xml:space="preserve">Quelle: </w:t>
      </w:r>
      <w:r>
        <w:t>https://mcp.opencaselaw.ch/entscheid/ge_gerichte_ATAS_1001_2010</w:t>
      </w:r>
    </w:p>
    <w:p>
      <w:r>
        <w:t>FR: GE_GERICHTE ATAS/1001/2010 du 4 octobre 2010</w:t>
      </w:r>
    </w:p>
    <w:p>
      <w:r>
        <w:t>IT: GE_GERICHTE ATAS/1001/2010 del 4 ottobre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w:t>
      </w:r>
    </w:p>
    <w:p>
      <w:r>
        <w:t>A/1638/2010 - 7/18 -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6 octobre 2008. La loi fédérale sur la partie générale du droit des assurances sociales du</w:t>
      </w:r>
    </w:p>
    <w:p>
      <w:r>
        <w:rPr>
          <w:b/>
        </w:rPr>
        <w:t>E. 6</w:t>
      </w:r>
    </w:p>
    <w:p>
      <w:r>
        <w:t>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2. a) L'art. 69 al. 1 LAI prévoit que les décisions des offices AI cantonaux peuvent faire directement l'objet d'un recours devant le tribunal des assurances du canton de l'office qui a rendu la décision. b) En l'espèce, l'OCAI a communiqué à l'assurée un projet de décision en date du</w:t>
      </w:r>
    </w:p>
    <w:p>
      <w:r>
        <w:rPr>
          <w:b/>
        </w:rPr>
        <w:t>E. 11</w:t>
      </w:r>
    </w:p>
    <w:p>
      <w:r>
        <w:t>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w:t>
      </w:r>
    </w:p>
    <w:p>
      <w:r>
        <w:t>A/1638/2010 - 12/18 - personne assurée (voir également Meyer-Blaser, Rechtsprechung des Bundesgerichts zum IVG, Zurich 1997, p. 222; ATFA du 17 mars 2005, I 257/04).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A/1638/2010 - 13/18 -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8. a) En l'espèce, le rapport d'expertise du BREM du 5 novembre 2009 répond aux critères jurisprudentiels précités pour qu'il lui soit reconnu une pleine valeur</w:t>
      </w:r>
    </w:p>
    <w:p>
      <w:r>
        <w:t>A/1638/2010 - 14/18 - probante. Les parties l'admettent également, sous réserve, pour la recourante, du fait que les experts n’auraient pas pris en compte l'atteinte aux membres supérieurs, en particulier compte tenu de l'échographie pratiquée le 9 septembre 2009 soit postérieurement à son examen. A cet égard, il est à constater que l'expertise cite précisément l'échographie du 9 septembre 2009 et la conclusion de celle-ci (p. 17) et indique dans les diagnostics (p. 18) et l'appréciation du cas (p. 19) une PSH droite avec tendinopathie du sus- épineux et des limitations au niveau du membre supérieur droit, dominant, siège d'une périarthropathie avec rupture du sus-épineux. Il convient ainsi de constater que l'ensemble des atteintes à la santé de la recourante a bien été pris en compte par les experts, en particulier celles révélées par l'échographie du 9 septembre 2009, de sorte que la valeur probante de ladite expertise ne saurait être contestée au motif que des investigations probantes ont été pratiquées postérieurement à l'examen de la recourante par les experts. Ceux-ci ont conclu à une incapacité de travail dans toute activité depuis 2004-2005 et à une incapacité de l'ordre de 70 % comme ménagère, à tout le moins depuis la date du dépôt de la demande AI de la recourante, soit le 6 octobre 2008. Cette appréciation médicale de la capacité de travail de la recourante doit donc être retenue. b) S'agissant du statut de la recourante, l'intimé lui a reconnu un statut d'inactive alors que la recourante invoque une activité à hauteur de 10 % de garde d'enfant et de ménage, exercée auprès de la famille K________ et qu'elle aurait, en bonne santé, conservée. L'intimé ne conteste pas le fait que la recourante a effectivement travaillé entre 1989 et 2004, en particulier entre 2000 et 2004 à raison de quatre heures en moyenne par semaine. Dès lors que cette activité, confirmée par le courrier du 2 mai 2010 de Mme K________ et par la recourante lors de l'audience de comparution personnelle du 6 septembre 2010, a effectivement été exercée et a cessé en 2004, année de la survenance de l'incapacité de travail de la recourante, attestée par les experts, il y a lieu d'en tenir compte. En effet, contrairement aux arguments de l'intimé (réponse intimé p. 1), la recourante ne s'est pas uniquement consacrée à son ménage depuis 1993 et on ne saurait dès lors considérer que, selon la situation concrète, elle n'aurait vraisemblablement pas repris d'activité lucrative en 1993 (réponse intimé p. 2), puisqu'elle a effectivement exercé une telle activité lucrative de façon continue entre 1989 et 2004. En conséquence, le statut de la recourante est mixte. 9. a) S'agissant du calcul de l'invalidité, il convient de l'effectuer séparément pour la part liée à l'activité et celle liée au ménage (art. 29a al. 3 LAI). A cet égard, l'expertise reconnaît une incapacité de travail totale de la recourante dans toute</w:t>
      </w:r>
    </w:p>
    <w:p>
      <w:r>
        <w:t>A/1638/2010 - 15/18 - activité lucrative, depuis 2004-2005, de sorte que l'invalidité de la recourante est totale dans la sphère professionnelle. Concernant l'invalidité ménagère, elle a été fixée à 31,5 % selon l'enquête sur le ménage du 4 février 2010. La recourante conteste la valeur probante de cette enquête au motif qu'elle tient compte à tort de l'aide apportée par la FSASD, qu'elle a de surcroit minimisé, de l'aide de son époux, lequel est atteint dans sa santé, de l'aide de son fils dans une mesure trop importante et qu'elle a omis le fait que plusieurs tâches ménagères n'étaient plus du tout effectuées. Préalablement, il convient de constater que c'est à juste titre que l'intimé a effectué une enquête à domicile pour évaluer l'invalidité ménagère de la recourante, laquelle est due à des limitations physiques et non pas psychiques, de sorte que l'enquête prime l'appréciation médicale du BREM, selon la jurisprudence précitée. L'enquête a domicile mentionne que les travaux que la recourante ne peut plus accomplir sont exécutés par le mari, le fils ou l'aide à domicile et précise que celle- ci passe l'aspirateur dans le salon et nettoie la salle de bains à fond. Il ne ressort pas de ces commentaires que l'aide à domicile de la FSASD aurait été prise en compte au même titre que l'aide des membres de la famille dans le calcul de l'empêchement et en particulier dans l'exigibilité retenue des membres de la famille. Par ailleurs, il parait vraisemblable que sur 1h50 de ménage, l'aide à domicile n'effectue pas uniquement le nettoyage à fond de la salle de bains et un passage d'aspirateur dans le salon mais aussi entièrement la cuisine, le salon, l'entrée et le couloir de l'appartement de cinq pièces de la recourante conformément aux dires de celle-ci. Cette allégation n'est d'ailleurs pas contestée par l'intimé. L'empêchement total reconnu dans ce domaine est de 45 % de sorte qu'il est admis une prise en charge de 30 % par l'époux et le fils de la recourante dans l'entretien du logement. Or, au vu des attestation médicales concernant l'époux de la recourante, lesquelles ne sont pas contestées par l'intimé, celui-ci doit éviter tout contact avec la poussière et des efforts importants en raison d'un asthme sévère et d'une pathologie de la colonne vertébrale. En outre, le travail de la FSADS, plus étendu que celui mentionné dans l'enquête, n'a pas vraiment été pris en charge par les membre de la famille, comme l'a confirmé la recourante en audience, puisqu'il est uniquement mentionné que ceux-ci passent l'aspirateur dans les chambres et la serpillère dans le hall d'entrée et la cuisine. Il apparaît ainsi justifié de réduire l'exigibilité du mari et du fils de la recourante à 20 % pour mieux tenir compte des limitations de l'époux de la recourante lesquelles n'étaient pas connues de l'enquêtrice au moment où elle a rédigé son rapport. Ainsi, l'empêchement total est de 55 % au lieu de 45 % et l'invalidité en résultant de 11 % au lieu de 9 %.</w:t>
      </w:r>
    </w:p>
    <w:p>
      <w:r>
        <w:t>A/1638/2010 - 16/18 - L'enquête mentionne aussi que la recourante présente des empêchements très importants dans la sphère ménagère, en raison des nombreuses limitations fonctionnelles, ce qui ressort de l'expertise du BREM, laquelle a conclu à une incapacité à exercer les tâches ménagères, toutes tâches confondues, à hauteur de 70 %. Il s'ensuit que la reconnaissance d'une exigibilité de 60 % pour la recourante dans le secteur alimentation, paraît nettement excessive, étant constaté qu'il s'agit de l'exigibilité retenue la plus importante alors que la recourante ne peut plus cuisiner comme elle le faisait auparavant, ne cuisine plus le soir et se limite à la préparation de repas rapides à midi. Au vu de l'exigibilité de 10 % retenue par l'enquêtrice pour l'aide des membres de la famille, laquelle n'est pas critiquable, il convient de retenir un empêchement d'au moins 40 % dans le secteur alimentation, lequel tient compte d'une exigibilité pour la recourante de 50 % au lieu de 60 %, de sorte que l'invalidité dans ce domaine est de 18 % au lieu de 13,5 %. Pour le reste, les empêchements retenus par l'enquête n'apparaissent pas critiquables. En conséquence, le degré d'invalidité total dans la sphère ménagère doit être porté de 31,5 % à 38 %. b) La durée de la semaine de travail pour les travailleurs à temps complet est de 45 heures (art. 12 al. 1 du contrat-type de travail pour les travailleurs de l'économie domestique à temps complet et à temps partiel du 30 mars 2004 - J.1 50.03). La recourante, qui exerçait son activité professionnelle à raison de quatre heures par semaine, travaillait ainsi à un taux de 8,88 %, soit un taux de 91,12 % dans la sphère ménagère. Le taux d'invalidité doit se calculer comme suit selon le chiffre 3101 de la circulaire sur l'invalidité et l'impotence dans l'assurance-invalidité en vigueur du 1er janvier 2008 au 31 décembre 2009 (CIIAI) : 4 h x 100 % + ([45 h - 4 h] x 38 %) _____________________________ = 43, 51 % = 44 % (ATF 130 V 121) 45 h ou encore, compte tenu d'une activité professionnelle de 8,88 % et d'une activité ménagère de 91,12 % : (100 x 0,0888) + (38 X 0,9112) = 43,5 % = 44 % En conséquence, la recourante a droit à un quart de rente d'invalidité. S'agissant du début du droit à la rente il doit être fixé au 6 octobre 2009, soit une année après le 6 octobre 2008, date à laquelle la demande de prestations a été faite et à laquelle les experts ont considéré qu'il existait une invalidité ménagère. 10. a) Au vu de ce qui précède, le recours est partiellement admis et la décision litigieuse annulée. Il sera dit que la recourante a droit à un quart de rente d'invalidité dès le 1er octobre 2009.</w:t>
      </w:r>
    </w:p>
    <w:p>
      <w:r>
        <w:t>A/1638/2010 - 17/18 -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ainsi qu'une indemnité de 3'000 fr. en faveur de la recourante.</w:t>
      </w:r>
    </w:p>
    <w:p>
      <w:r>
        <w:t>A/1638/2010 - 18/18 -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