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ATAS/1000/2025 vom 15. Dezember 2025</w:t>
      </w:r>
    </w:p>
    <w:p>
      <w:r>
        <w:t>GE Cour de justice, 2025-12-15, FR</w:t>
      </w:r>
    </w:p>
    <w:p>
      <w:r>
        <w:rPr>
          <w:b/>
        </w:rPr>
        <w:t xml:space="preserve">Quelle: </w:t>
      </w:r>
      <w:r>
        <w:t>https://mcp.opencaselaw.ch/entscheid/ge_gerichte_ATAS_1000_2025</w:t>
      </w:r>
    </w:p>
    <w:p>
      <w:r>
        <w:t>FR: GE_GERICHTE ATAS/1000/2025 du 15 décembre 2025</w:t>
      </w:r>
    </w:p>
    <w:p>
      <w:r>
        <w:t>IT: GE_GERICHTE ATAS/1000/2025 del 15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 (art. 56 ss LPGA ; art. 62 ss et 89A de la loi sur la procédure administrative du 12 septembre 1985 [LPA ‑ E 5 10]).</w:t>
      </w:r>
    </w:p>
    <w:p>
      <w:r>
        <w:rPr>
          <w:b/>
        </w:rPr>
        <w:t>E. 2</w:t>
      </w:r>
    </w:p>
    <w:p>
      <w:r>
        <w:t>À titre liminaire, il convient de circonscrire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w:t>
      </w:r>
    </w:p>
    <w:p>
      <w:r>
        <w:t>A/3865/2024 - 13/26 -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w:t>
      </w:r>
    </w:p>
    <w:p>
      <w:r>
        <w:rPr>
          <w:b/>
        </w:rPr>
        <w:t>E. 2.2</w:t>
      </w:r>
    </w:p>
    <w:p>
      <w:r>
        <w:t>En l’espèce, la chambre de céans observe que dans son opposition du</w:t>
      </w:r>
    </w:p>
    <w:p>
      <w:r>
        <w:rPr>
          <w:b/>
        </w:rPr>
        <w:t>E. 4</w:t>
      </w:r>
    </w:p>
    <w:p>
      <w:r>
        <w:t>mars 2024, le recourant s’est limité à contester le refus de l’intimée de lui octroyer une rente d’invalidité, sans maintenir ses griefs relatifs au refus d’octroi d’une IPAI. Partant, la chambre de céans se limitera à examiner les griefs du recourant relatifs au refus de l’intimée de lui octroyer une rente. Le litige porte ainsi sur le droit du recourant à une rente d’invalidité de l’assurance-accidents. 3.</w:t>
      </w:r>
    </w:p>
    <w:p>
      <w:r>
        <w:t>3.1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3.2 Si l'assuré est invalide (art. 8 LPGA) à 10% au moins par suite d’un accident, il a droit à une rente d'invalidité, pour autant que l’accident soit survenu avant l’âge de référence (art. 18 al. 1 LAA, dans sa teneur en vigueur à compter du 1er janvier 2024).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w:t>
      </w:r>
    </w:p>
    <w:p>
      <w:r>
        <w:t>A/3865/2024 - 14/26 - mesures de réadaptation exigibles (al. 1) ; seules les conséquences de l'atteinte à la santé sont prises en compte pour juger de la présence d'une incapacité de gain; de plus, il n'y a incapacité de gain que si celle-ci n'est pas objectivement surmontable (al. 2). 3.3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3.4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w:t>
      </w:r>
    </w:p>
    <w:p>
      <w:r>
        <w:t>A/3865/2024 - 15/26 -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3.5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3.6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(cf. arrêt du Tribunal fédéral 8C_2/2023 du</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w:t>
      </w:r>
    </w:p>
    <w:p>
      <w:r>
        <w:t>A/3865/2024 - 19/26 -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w:t>
      </w:r>
    </w:p>
    <w:p>
      <w:r>
        <w:t>A/3865/2024 - 20/26 -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6.</w:t>
      </w:r>
    </w:p>
    <w:p>
      <w:r>
        <w:t>6.1 En l’occurrence, la chambre de céans constate, à titre liminaire, que l’intimée a rendu sa décision du 4 mars 2024, puis sa décision sur opposition du 18 octobre suivant, en se fondant sur le rapport d’expertise du Dr F______ du 12 février 2023. Elle a ainsi estimé que l’état de santé du recourant était stabilisé depuis le 1er décembre 2021 et qu’il disposait d’une capacité de travail entière dans son activité de chirurgien-dentiste, avec une diminution de rendement de 30%, de sorte que sa capacité de travail s’élevait à 85%. Selon le Dr F______, une activité de chirurgien-dentiste pouvait également être exigible sans limitation de la capacité de travail, pour autant qu’elle consistât en une activité purement administrative et de diagnostic, sans chirurgie. Le recourant n’élève aucune critique s’agissant de ce rapport, lequel satisfait prima facie aux réquisits jurisprudentiels en matière de valeur probante dans la mesure où il contient un résumé de l’ensemble des rapports médicaux du dossier, une anamnèse, les plaintes du recourant et des observations cliniques. En outre, les conclusions de l’expert quant aux diagnostics et à la baisse de rendement sont claires, bien motivées et correspondent à l’avis du Dr D______ figurant dans son rapport médical du 8 juin 2021. Cela étant, il y a lieu de souligner que le Dr F______, s’il retient une capacité de travail entière du recourant dans son activité de dentiste, avec une diminution de rendement de 30%, conclut à l’existence d’une incapacité de travail de 15% seulement, et non de 30%. Interrogée sur cette question durant l’audience du 17 novembre 2025, l’intimée n’a pas été en mesure de répondre. Dans son courrier du 27 novembre suivant, elle s’est contentée d’indiquer qu’elle adhérait à l’avis du Dr F______, au motif que celui-ci reposait sur des considérations purement médicales et des observations faites lors de l’expertise. En qualité d’assureur-accidents, elle n’était pas en mesure d’indiquer pourquoi ces chiffres avaient été retenus par l’expert. La chambre de céans constate que les explications de l’intimée ne sont pas de nature à expliquer pour quelle raison le Dr F______ a estimé que la capacité de travail du recourant était de 85%, et non de 70%, alors qu’il a retenu une diminution de rendement de 30%. Le rapport d’expertise du Dr F______ ne contient du reste aucune précision à ce propos.</w:t>
      </w:r>
    </w:p>
    <w:p>
      <w:r>
        <w:t>A/3865/2024 - 21/26 - Compte tenu de ce qui précède, le rapport d’expertise du Dr F______ est dénué de valeur probante. La chambre de céans ne complètera pas l’instruction effectuée par l’intimée sur ce point, dès lors que la cause doit en tout état de cause lui être renvoyée au regard des considérations qui suivent (cf. infra consid. 6.2 à 6.4). Il appartiendra ainsi à l’intimée de clarifier le taux de capacité de travail du recourant dans son activité de chirurgien-dentiste. 6.2 L’intimée a déterminé le taux d’invalidité du recourant au moyen de la méthode de comparaison des revenus. S’agissant du revenu de valide, elle a relevé que dans la mesure où l’accident avait eu lieu en 2020, année du COVID-19, le revenu déclaré de CHF 134'200.- pour cette année-là n’était pas représentatif des années de travail précédentes. Il convenait plutôt de se fonder sur la moyenne des revenus réalisés de 2017 à 2019 pour déterminer le gain de valide, lequel s’élevait à CHF 168'000.-. Compte tenu de l’évolution salariale, ce montant ascendait à CHF 169'005.30 en 2021. Une augmentation annuelle des revenus du recourant de 4% était incertaine, de sorte que cette projection ne saurait être prise en compte. S’agissant du revenu d’invalide, bien que l’activité d’expert du recourant fût terminée, elle avait été réalisée dans un environnement stable lui permettant d’exploiter pleinement sa capacité de travail résiduelle, de sorte que les gains générés par cette activité devaient être pris en compte, en tant qu’ils démontraient la capacité du recourant à générer un revenu malgré les limitations résultant de l’accident. L’intimée a observé qu’à teneur des inscriptions figurant sur l’extrait de CI du recourant, celui-ci s’élevait à CHF 195'600.- en 2021 et à CHF 157'200.- en 2022. Ainsi, même en retenant la moyenne des revenus réalisés en 2021 et 2022 (CHF 176'400.-), le taux d’invalidité était négatif, de sorte que le recourant n’avait pas droit à une rente. Le recourant soutient que le revenu de valide devrait être établi sur la base de la moyenne des revenus réalisés en 2018 et 2019, en tenant compte d’une augmentation annuelle de 4% en 2020 et 2021, de sorte que son revenu de valide s’élèverait à CHF 186'415.25. Concernant le revenu d’invalide, il estime qu’il n’y a pas lieu de tenir compte des revenus réalisés dans le cadre des missions d’expertise que le SPC lui a confiées, dès lors que cette activité ne reposait pas sur des rapports de travail stables et qu’il est extrêmement difficile de trouver des opportunités de même nature. Il convient ainsi d’examiner si c’est à bon droit que l’intimée a considéré que le recourant n’avait pas droit à une rente d’invalidité. 6.3 Comme indiqué précédemment, l’intimée a déterminé le taux d’invalidité du recourant au moyen de la méthode de comparaison des revenus.</w:t>
      </w:r>
    </w:p>
    <w:p>
      <w:r>
        <w:t>A/3865/2024 - 22/26 - Bien que le recourant ne conteste pas l’utilisation de cette méthode de calcul, il convient de déterminer si l’intimée était fondée à recourir à celle-ci en vue de déterminer son invalidité. Il est établi que le recourant est une personne de condition indépendante dans la mesure où il exploite, depuis 2011, un cabinet dentaire sous la forme d’une entreprise individuelle, dans lequel il exerce une activité de dentiste indépendant. Par ailleurs, l’analyse des différents éléments figurant au dossier révèle ce qui suit. Les revenus du recourant, tels qu’ils ressortent de son extrait de CI, ont fluctué au fil des années de façon non négligeable. Ainsi, son revenu s’élevait à CHF 32'500.- en 2011, CHF 60'100 en 2012, CHF 39'900.- en 2013, CHF 136'900.- en 2014, CHF 138'900.- en 2015, CHF 157'200.- en 2016, CHF 164'900.- en 2017, CHF 177'100.- en 2018, CHF 162'000.- en 2019, CHF 134'200.- en 2020.-, CHF 195'600.- en 2021, CHF 254'000.- en 2022 et CHF 157'200 en 2023 et 2024. Les charges du recourant, en tant qu’exploitant d’une société individuelle, ont également passablement varié dans le temps. À titre d’exemple, les bordereaux de taxation communiqués par le recourant montrent que les charges du personnel se sont élevées à CHF 63'585.- en 2014, CHF 82'407.- en 2015, CHF 94'697.- en 2016, CHF 83'942.- en 2017, CHF 87'179.- en 2018, CHF 101'566.- en 2019, CHF 92'848.- en 2020 et CHF 105'767.- en 2021. La même remarque s’applique aux frais généraux et aux « charges de matières premières ». Les charges totales du recourant ont ainsi également connu des modifications notables au cours des années. Elles se sont élevées à CHF 278'072.- en 2014, CHF 289'136.- en 2015, CHF 287'098.- en 2016, CHF 272'122.- en 2017, CHF 293'344.- en 2018, CHF 289'058.- en 2019, CHF 264'420.- en 2020, et CHF 313'238.- en 2021. Il convient à cet égard de souligner que ces variations ont été particulièrement marquées entre 2019, année précédant l’accident, et 2021, année suivant l’accident. Il sera encore précisé que le recourant a produit, à la demande de la chambre de céans et en guise de pièces comptables, ses bordereaux de taxation de 2014 à 2021, lesquels contiennent les éléments de son compte de pertes et profits. La chambre de céans ne dispose toutefois pas des bordereaux postérieurs afin de déterminer comment les charges du recourant ont évolué par la suite. Compte tenu de ce qui précède, la chambre de céans estime que les données comptables de l’entreprise individuelle du recourant, de même que celles ressortant de son extrait de CI, ne constituent pas des données fiables pour évaluer son incapacité de gain, dès lors qu’il ne peut pas être exclu, sous l’angle de la vraisemblance prépondérante, qu’elles ne sont pas influencées par des facteurs étrangers à l’invalidité du recourant.</w:t>
      </w:r>
    </w:p>
    <w:p>
      <w:r>
        <w:t>A/3865/2024 - 23/26 - À cet égard, il sera notamment relevé qu’à teneur de l’extrait de CI du recourant, ses revenus ont été plus élevés en 2021 et 2022, soit après son atteinte à la santé, alors que sa capacité de travail était réduite à tout le moins jusqu’au mois de juin 2021. Cette augmentation des revenus du recourant peut naturellement être expliquée par les différentes missions d’expertises réalisées pour le compte du SPC. Cependant, s’il est vrai que cette activité d’expert est exigible du recourant d’un point de vue de ses limitations fonctionnelles, il ressort du courrier du SPC du 26 septembre 2024 qu’elle a pris fin en date du 1er juin 2024, même si le recourant doit encore traiter les dossiers qui lui ont été confiés avant cette date. Il n’est donc pas certain que le recourant sera en mesure de générer un revenu comparable par la suite grâce à une activité du même genre. Ainsi, le fait que les revenus des années 2021 et 2022 soient plus élevés que les revenus réalisés par le recourant avant son accident ne signifie pas que celui-ci ne subit aucune perte de gain du fait de son accident, dès lors qu’ils sont susceptibles d’avoir été provoqués par une conjoncture économique favorable, à savoir la possibilité de réaliser des expertises pour le SPC. Quant aux revenus des années 2023 et 2024 ressortant de l’extrait du CI du recourant, à savoir CHF 157'200, ceux-ci ne peuvent pas être pris en considération pour déterminer son taux d’invalidité, dès lors qu’il s’agit du revenu pris en considération par la caisse de compensation pour fixer les acomptes du recourant, ce que ce dernier a confirmé lors de l’audience du 17 novembre 2025. La chambre de céans ne disposant pas des bordereaux de taxation du recourant pour les années postérieures à 2021, il n’est pas possible de déterminer avec précision comment le revenu du recourant a évolué, notamment depuis que le SPC ne lui confie plus d’expertises. À cet égard, le recourant a déclaré, lors de l’audience du 17 novembre 2025, que ses comptes de 2025 seraient bouclés dans le courant du mois de janvier 2026, en précisant que l’année 2025 était déterminante, dès lors qu’il n’avait plus pu réaliser d’expertises durant celle-ci. Il n’y a toutefois pas lieu d’attendre que le recourant produise la comptabilité de son activité de 2025, dès lors que la chambre de céans examine la légalité de la décision querellée d'après l'état de fait existant au moment où celle-ci a été rendue (ATF 121 V 366 consid. 1b et les références), soit le 18 octobre 2024. De surcroît, les différents documents comptables figurant au dossier ne font pas mention du temps consacré par le recourant à ces expertises, ni de leur impact sur son activité de chirurgien-dentiste. L’on ignore ainsi si le recourant a diminué son activité de chirurgien-dentiste dans une mesure équivalente au temps qu’il consacrait aux expertises, ou si tel n’a pas été pas le cas. À cet égard, la chambre de céans relève qu’au vu du chiffre d’affaires lié aux missions d’expertises mentionné par G______SA pour l’année 2020, lequel s’élève à CHF 53'145.05, le recourant a entamé son activité d’expert avant son accident du 5 novembre 2020, comme il l’a indiqué durant l’audience du 17 novembre 2025. Les pièces du</w:t>
      </w:r>
    </w:p>
    <w:p>
      <w:r>
        <w:t>A/3865/2024 - 24/26 - dossier ne permettent toutefois pas de déterminer la pondération des différents champs d'activité du recourant avant et après la survenance de son atteinte à la santé. Par ailleurs, il appert que les bordereaux de taxation contenant les comptes de pertes et profits du recourant ne sont pas suffisamment précis pour que la chambre de céans puisse vérifier la teneur de l’attestation établie par la société G______SA quant aux revenus réalisés par le recourant en sa qualité d’expert. Enfin, le recourant a déclaré qu’avant l’accident, il employait une assistante à plein temps et une à 50%. Depuis l’accident, il emploie toutefois deux assistantes dentaires à plein temps car il a besoin d’avoir une personne en permanence à côté de lui, de sorte que la masse salariale de sa raison individuelle a augmenté à la suite de l’accident. Partant, au vu de la variabilité des charges et des revenus du recourant au fil des ans (cf. arrêt du Tribunal fédéral 8C_1/2020 du 15 octobre 2020 consid. 4.4) et des changements intervenus dans le cadre de son activité d’expert, il est peu probable que les variations de son bénéfice soient exclusivement dues aux conséquences de l’accident. Dans la mesure où les données comptables de l’entreprise individuelle du recourant, de même que celles ressortant de son extrait de CI, ont vraisemblablement été influencées par des facteurs étrangers à son invalidité, elles ne constituent pas des données fiables pour évaluer son incapacité de gain, de sorte que l’intimée n’était pas fondée à recourir à la méthode de comparaison des revenus pour déterminer son invalidité. 6.4 Par conséquent, il convient d'annuler la décision du 18 octobre 2024 et de renvoyer la cause à l’intimée pour qu'elle clarifie le taux de capacité de travail du recourant et mette en œuvre une enquête pour activité professionnelle indépendante, puis rende une nouvelle décision en déterminant le degré d’invalidité au moyen de la méthode extraordinaire. Par ailleurs, compte tenu du renvoi de la présente cause à l’intimée, il appartiendra également à cette dernière de déterminer si les atteintes psychiques rapportées par le Dr I______ et H______ sont en lien de causalité naturelle et adéquate avec l’accident du 5 novembre 2020, si elles sont incapacitantes et, dans l’affirmative, dans quelle mesure.</w:t>
      </w:r>
    </w:p>
    <w:p>
      <w:r>
        <w:rPr>
          <w:b/>
        </w:rPr>
        <w:t>E. 7</w:t>
      </w:r>
    </w:p>
    <w:p>
      <w:r>
        <w:t>Au vu de ce qui précède, le recours sera partiellement admis.</w:t>
      </w:r>
    </w:p>
    <w:p>
      <w:r>
        <w:t>Le recourant, assisté par une avocate, obtient partiellement gain de cause, de sorte qu’il droit à une indemnité partielle, au titre de dépens, de CHF 2'500.- (art. 61 let. g LPGA ; art. 89H al. 3 LPA ; art. 6 du règlement sur les frais, émoluments et indemnités en procédure administrative du 30 juillet 1986 [RFPA - E 5 10.03]). Pour le surplus, en l’absence de loi spéciale prévoyant des frais judiciaires, la procédure est gratuite (art. 61 let. fbis LPGA a contrario).</w:t>
      </w:r>
    </w:p>
    <w:p>
      <w:r>
        <w:t>A/3865/2024 - 25/26 -</w:t>
      </w:r>
    </w:p>
    <w:p>
      <w:r>
        <w:t>A/3865/2024 - 26/26 -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