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ATAS/1000/2019 vom 21. Januar 2019</w:t>
      </w:r>
    </w:p>
    <w:p>
      <w:r>
        <w:t>GE Cour de justice, 2019-01-21, FR</w:t>
      </w:r>
    </w:p>
    <w:p>
      <w:r>
        <w:rPr>
          <w:b/>
        </w:rPr>
        <w:t xml:space="preserve">Quelle: </w:t>
      </w:r>
      <w:r>
        <w:t>https://mcp.opencaselaw.ch/entscheid/ge_gerichte_ATAS_1000_2019</w:t>
      </w:r>
    </w:p>
    <w:p>
      <w:r>
        <w:t>FR: GE_GERICHTE ATAS/1000/2019 du 21 janvier 2019</w:t>
      </w:r>
    </w:p>
    <w:p>
      <w:r>
        <w:t>IT: GE_GERICHTE ATAS/1000/2019 del 21 gennaio 2019</w:t>
      </w:r>
    </w:p>
    <w:p>
      <w:pPr>
        <w:pStyle w:val="Heading2"/>
      </w:pPr>
      <w:r>
        <w:t>Erwägungen</w:t>
      </w:r>
    </w:p>
    <w:p>
      <w:r>
        <w:rPr>
          <w:b/>
        </w:rPr>
        <w:t>E. 25</w:t>
      </w:r>
    </w:p>
    <w:p>
      <w:r>
        <w:t>juin 1999 (RPCC-AVS/AI - J 4 25.03), l'opposition a un effet suspensif, sauf dans les cas prévus par l'article 11 OPGA appliqué par analogie (al. 1) ; que le service peut, sur requête ou d'office, retirer l'effet suspensif ou rétablir l'effet suspensif retiré dans la décision ; qu’une telle requête doit être traitée sans délai (al. 2) ; Que l’art. 66 LPA-GE prescrit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(ATF 124 V 82 consid. 6a;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 que ne saurait à cet égard constituer un élément déterminant la situation matérielle difficile dans laquelle se trouve la personne assurée depuis la diminution ou la suppression des prestations ;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qu’il serait effectivement à craindre qu'une éventuelle procédure en restitution des prestations versées à tort ne se révèle infructueuse (ATF 119 V 503 consid. 4 et les références; voir</w:t>
      </w:r>
    </w:p>
    <w:p>
      <w:r>
        <w:t>A/3821/2019 - 5/6 - également arrêt du Tribunal fédéral des assurances I 267/98 du 22 octobre 1998, in VSI 2000 p. 184 consid. 5; Hansjörg SEILER, in Praxiskommentar zum VwVG, n° 103 ad art. 55 PA)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 ; Qu’en l’espèce, l’intéressée allègue avoir habité au ______, route B______ de 2011 au 20 novembre 2018 ; Qu’il n’apparaît pas prima facie, à un degré de probabilité suffisant, que l’intéressée obtiendra gain de cause, pour qu’au stade actuel de la procédure, l’effet suspensif doive être restitué ; Que quoi qu’il en soit, en pareilles circonstances, l’intérêt de l’administration apparaît généralement prépondérant (ATF 119 V 207 ; 105 V 269), ce d’autant plus lorsque, comme en l’espèce, les prestations qui devraient être versées rétroactivement à l’intéressée portent sur plus de trois ans ; que si celle-ci n’obtient pas gain de cause, il est en effet à craindre que la procédure en restitution des prestations versées à tort ne se révèle infructueuse ; Qu’il ne se justifie dès lors pas de rétablir l’effet suspensif.</w:t>
      </w:r>
    </w:p>
    <w:p>
      <w:r>
        <w:t>A/3821/2019 - 6/6 -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