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ATAS/1000/2011 vom 25. Oktober 2011</w:t>
      </w:r>
    </w:p>
    <w:p>
      <w:r>
        <w:t>GE Cour de justice, 2011-10-25, FR</w:t>
      </w:r>
    </w:p>
    <w:p>
      <w:r>
        <w:rPr>
          <w:b/>
        </w:rPr>
        <w:t xml:space="preserve">Quelle: </w:t>
      </w:r>
      <w:r>
        <w:t>https://mcp.opencaselaw.ch/entscheid/ge_gerichte_ATAS_1000_2011</w:t>
      </w:r>
    </w:p>
    <w:p>
      <w:r>
        <w:t>FR: GE_GERICHTE ATAS/1000/2011 du 25 octobre 2011</w:t>
      </w:r>
    </w:p>
    <w:p>
      <w:r>
        <w:t>IT: GE_GERICHTE ATAS/1000/2011 del 25 ottobre 2011</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 le degré d’invalidité du recourant et sur l'indemnité pour l’atteinte à l’intégrité.</w:t>
      </w:r>
    </w:p>
    <w:p>
      <w:r>
        <w:rPr>
          <w:b/>
        </w:rPr>
        <w:t>E. 5</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A/2146/2011 - 14/21 -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 e) En l’espèce, le rapport du Dr I___________ du 1er décembre 2010 correspond aux exigences posées par la jurisprudence pour se voir reconnaître une pleine valeur probante. Il se fonde en effet sur l’étude du dossier médical du recourant, tient compte des plaintes subjectives de celui-ci, a été établi après un examen clinique et ses conclusions sont motivées. Partant, il n’existe aucun motif de s’écarter de l’appréciation du Dr I___________ selon laquelle le recourant est apte à travailler à temps complet dans une activité adaptée à ses limitations fonctionnelles, soit un poste dans lequel le recourant ne doit pas lever le bras droit au-dessus de l’horizontale, effectuer des mouvements répétés des bras ou porter des charges</w:t>
      </w:r>
    </w:p>
    <w:p>
      <w:r>
        <w:t>A/2146/2011 - 15/21 - supérieures à 10 kg. On notera par ailleurs que l’avis du Dr I___________ n’est pas en contradiction avec les rapports établis par les médecins de la CRR. Si les Drs J___________, K___________ et M___________ ont certes constaté que le recourant évitait de mobiliser son épaule droite, ils n’ont pu poser de diagnostic clair permettant d’expliquer les douleurs du recourant et n’ont ainsi pas fait état d’un argument clinique expliquant le caractère non fonctionnel de l’épaule. Ces spécialistes ne se sont au demeurant pas prononcés expressément sur les limitations fonctionnelles du recourant, dont ils n’ont au demeurant pas évalué la capacité de travail dans une activité adaptée. Les indications du Pr G___________ ne suffisent pas non plus à remettre en cause les conclusions du Dr I___________ quant aux limitations fonctionnelles. Il ressort en effet du rapport du 17 janvier 2011 du Pr G___________ que les mouvements de l’épaule ne sont pas impossibles, puisqu’il fait état des amplitudes articulaires constatées lors de l’examen clinique. Les conclusions de ce médecin quant à la capacité de travail du recourant dans une activité adaptée rejoignent d’ailleurs celles du Dr I___________, puisqu’il indique dans son rapport du 24 mars 2011 une capacité dans toute activité sans sollicitation en force de l’épaule droite et sans port de charges de plus de 5 kg. Certes, le Dr I___________ exclut le port de charges à 10 kg tandis que le Pr G___________ le limite aux poids supérieurs à 5 kg déjà. Cette différence n’est cependant pas décisive pour exclure le caractère exigible d’une activité adaptée. Il sied d’ailleurs de souligner que seul un des DPT fournis par l’intimée implique – au demeurant rarement – le port de charges supérieures à 5 kg. Ainsi, le fait que la décision de l’intimée quant à l’activité exigible repose sur la seule appréciation du médecin d’arrondissement ne prête pas flanc à la critique, contrairement à ce qu’allègue le recourant. Il n’existe en effet aucun avis médical susceptible de la remettre en question. S'agissant en particulier de la capacité de travail, le certificat du Pr G___________ du 9 mai 2011, constatant une aptitude à 50 % dans une autre activité que celle de maçon, n’est guère suffisant. On rappelle que ce médecin a attesté tant dans son certificat du 24 mars 2011 que dans son courrier du 20 avril 2011 d’une capacité dans une activité adaptée sans faire état d'une quelconque restriction quant au taux exercé, de sorte que cette nouvelle conclusion, en contradiction claire avec ses récents rapports et nullement motivée, ne peut être retenue. Compte tenu de ce qui précède, les conclusions du Dr I___________ doivent être suivies et la mise en œuvre d’une expertise sur ce point s’avère superflue, par appréciation anticipée des preuves.</w:t>
      </w:r>
    </w:p>
    <w:p>
      <w:r>
        <w:rPr>
          <w:b/>
        </w:rPr>
        <w:t>E. 6</w:t>
      </w:r>
    </w:p>
    <w:p>
      <w:r>
        <w:t>Selon l'art. 18 al. 1er LAA, si l’assuré est invalide (art. 8 LPGA) à 10 % au moins par suite d’un accident, il a droit à une rente d’invalidité. a) En préambule, il sied de préciser que la notion d'invalidité, définie à l'art. 8 LPGA, est en principe identique en matière d'assurance-accidents, d'assurance militaire et d'assurance-invalidité. L’art. 8 al. 1 LPGA précise qu’est</w:t>
      </w:r>
    </w:p>
    <w:p>
      <w:r>
        <w:t>A/2146/2011 - 16/21 -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La prise en compte de ces gains accessoires intervient sans égard au rendement et au temps consacré pour leur obtention. Elle s'étend donc aux revenus obtenus dans une activité accomplie en supplément d'un emploi exercé dans les limites d'un horaire de travail normal (ATF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(ATF 8C_274/2009 du 3 décembre 2009, consid. 6 et les références).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w:t>
      </w:r>
    </w:p>
    <w:p>
      <w:r>
        <w:t>A/2146/2011 - 17/21 -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d) Il convient d’examiner le calcul du degré d’invalidité à la lumière des considérants qui précèdent. S’agissant du revenu sans invalidité, la Cour de céans observe que l’intimée n’indique pas comment elle parvient à un revenu de 69'862 fr. à titre de revenu sans invalidité. En effet, selon les indications de l'employeur, le recourant aurait perçu un salaire de 5'320 fr. par mois versé 13 fois en 2010, soit 69'160 fr. Toutefois, dans la mesure où le montant tiré de l'activité principale n'est pas contesté par le recourant, et se révèle favorable au recourant, elle ne s’en écartera pas. En revanche, le recourant fait grief à l’intimée de ne pas avoir pris en compte le revenu qu’il tirait de son activité accessoire.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En l’occurrence, le recourant n’exerçait cette activité accessoire que depuis peu lors de l’événement du 15 février 2007. De plus, contrairement à ce qu’il affirme, le contrat de travail conclu avec Y___________ SA porte clairement sur un contrat de travail sur appel, ne fournissant aucune garantie d’occupation puisque chaque engagement effectif devait faire l’objet d’un accord verbal entre les parties. En outre, les certificats de salaires que le recourant a produits pour l’unique année lors de laquelle il a été employé par cette société affichent des variations importantes, si bien qu’on ne saurait admettre que dans son cadre saisonnier, cette activité s’exerçait de manière régulière. Le fait que les horaires soient affichés à l'avance dans l'entreprise relève d'une simple mesure organisationnelle, et ne suffit pas à prouver que le recourant aurait effectivement eu des engagements. Il n’est donc pas démontré, au degré de la vraisemblance prépondérante, qu’il pouvait à nouveau prétendre à des engagements effectifs dès décembre 2007. Pour ce motif déjà, c’est à juste titre que l’intimée n’a pas retenu le revenu tiré de cette activité. En outre, lorsque le recourant a signé sa deuxième convention avec cette société, il se trouvait déjà en incapacité de travail en tant que maçon. S’il a malgré cet élément cherché à exercer une activité accessoire, on peut raisonnablement en déduire que celle-ci était adaptée à ses limitations fonctionnelles et que le motif pour lequel il n’a finalement pas eu d’engagement n’était pas lié à ses limitations fonctionnelles, mais</w:t>
      </w:r>
    </w:p>
    <w:p>
      <w:r>
        <w:t>A/2146/2011 - 18/21 - à des circonstances sans lien avec son atteinte à la santé. Or, conformément à la jurisprudence exposée, il n’y a pas lieu de prendre en compte un gain accessoire lors de la fixation du revenu sans invalidité dans un tel cas. Quant au revenu d’invalide, le recourant allègue qu’il y a lieu de ne retenir que le montant minimal de la rémunération afin de tenir compte des critères personnels et professionnels. Si la doctrine admet en effet que les critères personnels et professionnels peuvent être pris en compte dans la fourchette déterminée par le salaire minimum et le salaire maximum de chaque poste de travail (Jean-Maurice FRÉSARD / Margit MOSER-SZELESS, L'assurance-accidents obligatoire in Schweizerisches Bundesverwaltungsrecht [SBVR], 2ème éd., 2007, n. 175), le Tribunal fédéral a pour sa part confirmé dans plusieurs arrêts que c’est la valeur moyenne des cinq emplois à laquelle il faut se référer pour déterminer le revenu d’invalide (ATF 8C_356/2008 du 10 décembre 2008, consid. 5). Par ailleurs, l’intimée dispose d’un certain pouvoir d’appréciation dans le choix des DPT retenus, qu’on ne saurait remettre en question sans motif pertinent (ATF U 405/05 du 19 juin 2006, consid. 4.2). En outre, même à supposer qu’il faille s’écarter du revenu moyen des DPT pour tenir compte des particularités du cas d’espèce, on ne voit pas ce qui justifierait la prise en compte du seul revenu minimum. En effet, compte tenu de l’expérience professionnelle dont dispose le recourant et de son âge, il n’y a pas de raison qu’il ne puisse réaliser le salaire moyen ressortant des DPT. Partant, c’est à juste titre que l’intimée a fixé le revenu sans invalidité à 69'862 fr. et le revenu dans une activité adaptée à 56'167 fr. La comparaison de ces revenus aboutit à un degré d’invalidité de 19.6 %, arrondi à 20 %. La décision de l’intimée doit dès lors être confirmée sur ce point. Quant au montant de la rente, l'art. 22 al. 4 1ère phrase de l'ordonnance sur l'assurance-accidents du 20 décembre 1982 (OLAA; RS 832.202) dispose que les rentes sont calculées sur la base du salaire que l’assuré a reçu d’un ou plusieurs employeurs durant l’année qui a précédé l’accident, y compris les éléments de salaire non encore perçus et auxquels il a droit. Selon les informations données par l'employeur, l'assuré a réalisé un revenu total, allocations et autres indemnités incluses, de 69'736 fr. du 15 février 2006 au 14 février 2007. A cela s'ajoute la rétribution perçue jusqu'au 14 février 2007 auprès de son second employeur, soit 2'497 fr. 70. Le revenu global durant l'année précédant l'accident est ainsi de 72'233 fr. 70. Une rente totale s'élèverait à 80 % de ce montant, soit 57'786 fr. 95 par année, et une rente de 20 % de ce montant correspond à 963 fr. 10 par mois. Le calcul de l'intimée est donc exact.</w:t>
      </w:r>
    </w:p>
    <w:p>
      <w:r>
        <w:rPr>
          <w:b/>
        </w:rPr>
        <w:t>E. 7</w:t>
      </w:r>
    </w:p>
    <w:p>
      <w:r>
        <w:t>Le recourant conteste également le degré retenu pour l’atteinte à l’intégrité. a) A teneur de l'art. 24 al. 1 LAA, l’assuré qui, par suite de l’accident, souffre d’une atteinte importante et durable à son intégrité physique, mentale ou psychique, a droit à une indemnité équitable pour atteinte à l’intégrité. L’indemnité est fixée en</w:t>
      </w:r>
    </w:p>
    <w:p>
      <w:r>
        <w:t>A/2146/2011 - 19/21 -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8C_459/2008 du 4 février 2009, consid. 2.1.2; ATF 124 V 209, consid. 4a/cc). b) L'indemnité pour atteinte à l'intégrité a pour but de compenser le dommage subi par un assuré du fait d'une atteinte grave à son intégrité corporelle ou mentale due à un accident et a le caractère d'une indemnité pour tort moral (Message du Conseil fédéral à l'appui d'un projet de loi sur l'assurance-accidents, FF 1976 III p. 171).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w:t>
      </w:r>
    </w:p>
    <w:p>
      <w:r>
        <w:t>A/2146/2011 - 20/21 - signifie que pour tous les assurés présentant un status médical identique, l'atteinte à l'intégrité est la même (ATF 115 V 147, consid. 1). L'évaluation incombe donc avant tout aux médecins, qui doivent, d'une part, constater objectivement quelles limitations subit l'assuré et, d'autre part, estimer l'atteinte à l'intégrité en résultant (FRÉSARD/MOSER-SZELESS, op. cit., n. 235; ATF 8C_703/2008 du 25 septembre 2009, consid. 5.1). c) En l’occurrence, le Dr I___________ a retenu une indemnité de 17.5 %. Selon la table 1 relative à l’indemnisation des atteintes à l'intégrité selon la LAA de la SUVA, une épaule mobile jusqu’à l’horizontale donne droit à une indemnité de 15 %, tandis qu’une périarthrite scapulo-humérale correspond à un taux de 10 % si elle est moyenne et 25 % si elle est grave. Le degré de 17.5 % retenu par le médecin est ainsi conforme aux tables d’indemnisation et se révèle d’ailleurs supérieur à celui qu’aurait pu prétendre le recourant si le Dr I___________ avait tenu compte de la seule limitation objective de la mobilité de l’épaule. De plus, comme cela a été relevé, l’indemnisation d’une atteinte à l’intégrité physique ne tient pas compte de facteurs subjectifs mais s’opère de manière forfaitaire, quelles que soient les circonstances particulières du cas. Partant, l’intensité des douleurs ressenties par le recourant ne justifie pas une indemnité plus élevée. Par ailleurs, ce dernier n’a fourni aucun élément médical permettant de revenir sur le taux retenu par le médecin d’arrondissement de l’intimée, bien qu’un délai à cet effet lui ait été accordé par la Cour de céans. En l'absence de tout document médical suffisant pour remettre en cause l'estimation de l'atteinte à l'intégrité par le Dr I___________, il s'avère inutile, par appréciation anticipée des preuves, de procéder à une deuxième évaluation de cette atteinte. En conséquence, le degré de l’indemnité pour atteinte à l’intégrité doit également être confirmé.</w:t>
      </w:r>
    </w:p>
    <w:p>
      <w:r>
        <w:rPr>
          <w:b/>
        </w:rPr>
        <w:t>E. 8</w:t>
      </w:r>
    </w:p>
    <w:p>
      <w:r>
        <w:t>Eu égard à ce qui précède, le recours sera rejeté. Le recourant, qui succombe, n’a pas droit à des dépens (art. 61 let. g LPGA). Pour le surplus, la procédure est gratuite.</w:t>
      </w:r>
    </w:p>
    <w:p>
      <w:r>
        <w:t>A/2146/2011 - 21/21 -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