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AC/975/2017 vom 21. Juni 2017</w:t>
      </w:r>
    </w:p>
    <w:p>
      <w:r>
        <w:t>GE Cour de justice, 2017-06-21, FR</w:t>
      </w:r>
    </w:p>
    <w:p>
      <w:r>
        <w:rPr>
          <w:b/>
        </w:rPr>
        <w:t xml:space="preserve">Quelle: </w:t>
      </w:r>
      <w:r>
        <w:t>https://mcp.opencaselaw.ch/entscheid/ge_gerichte_AC_975_2017</w:t>
      </w:r>
    </w:p>
    <w:p>
      <w:r>
        <w:t>FR: GE_GERICHTE AC/975/2017 du 21 juin 2017</w:t>
      </w:r>
    </w:p>
    <w:p>
      <w:r>
        <w:t>IT: GE_GERICHTE AC/975/2017 del 21 giugno 2017</w:t>
      </w:r>
    </w:p>
    <w:p>
      <w:pPr>
        <w:pStyle w:val="Heading2"/>
      </w:pPr>
      <w:r>
        <w:t>Regeste</w:t>
      </w:r>
    </w:p>
    <w:p>
      <w:r>
        <w:t>CHANCES DE SUCCÈS ; MAINLEVÉE PROVISOIRE ; ACTE DE RECOURS ; ÉCHANGE D'ÉCRITURES</w:t>
      </w:r>
    </w:p>
    <w:p>
      <w:pPr>
        <w:pStyle w:val="Heading2"/>
      </w:pPr>
      <w:r>
        <w:t>Erwägungen</w:t>
      </w:r>
    </w:p>
    <w:p>
      <w:r>
        <w:rPr>
          <w:b/>
        </w:rPr>
        <w:t>E. 1.1</w:t>
      </w:r>
    </w:p>
    <w:p>
      <w:r>
        <w:t>Les recours interjetés les 6 et 24 avril 2017 se rapportant au même complexe de faits, il y a lieu de les joindre (art. 125 let. c CPC).![endif]&gt;![if&gt;</w:t>
      </w:r>
    </w:p>
    <w:p>
      <w:r>
        <w:rPr>
          <w:b/>
        </w:rPr>
        <w:t>E. 1.2</w:t>
      </w:r>
    </w:p>
    <w:p>
      <w:r>
        <w:t>Les décisions entreprises sont sujettes à recours auprès de la présidente de la Cour de justice en tant qu'elle refusent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1.3</w:t>
      </w:r>
    </w:p>
    <w:p>
      <w:r>
        <w:t>En l'espèce, les recours sont recevables pour avoir été interjetés dans le délai utile et en la forme écrite prescrite par la loi.</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procédure sommaire, les parties ne peuvent pas d'emblée compter sur un deuxième échange d'écritures et sont dès lors tenues de présenter leurs arguments dans le premier échange d'écritures (art. 229 CPC par analogie). Par exception, respectivement pour des motifs tenant au droit constitutionnel, le tribunal peut toutefois prendre en considération de vrais nova, ainsi que des pseudo nova qui de manière excusable, n'ont pas été présentés auparavant, articulés à l'audience des débats principaux, au sens de l'art. 229 al. 1 lit. a et b CPC (arrêt du Tribunal fédéral 5A_82/2015 du 16 juin 2015 consid. 4.2.1; arrêt du Tribunal cantonal de D______-Campagne n° 410 14 104 du 1er juillet 2014 consid. 2.4). Selon une opinion de l'Obergericht bernois, en procédure sommaire, la restriction à l’invocation de nova s’applique en principe après les premières écritures. Le droit de réplique n’a pas pour but de permettre aux parties de rectifier des mémoires dont le contenu originel est déficient (OGer/BE du 21 septembre 2012, ZK 12/ 217). Selon une opinion de la Cour de justice, en procédure sommaire, lorsque le juge, conformément à l'art. 253 CPC, a ordonné la procédure écrite, il n'est pas possible d'invoquer des faits ou moyens de preuve nouveaux après le dépôt de la requête, respectivement de la réponse. La procédure de mainlevée est une procédure simple et rapide, qui doit se fonder sur des moyens de preuve immédiatement disponibles. Une telle limitation est admissible dès lors que les moyens de preuve qui n'ont pu être produits devant le juge de la mainlevée pourront tous être administrés ultérieurement dans le procès ordinaire, qui tranchera définitivement la cause après un examen complet en fait et en droit ( ACJC/318/2013 du 8 mars 2013 consid. 3.4 et les références citées, notamment arrêt du Tribunal fédéral 5A_365/2012 consid. 4.3.2, SJ 2013 p. 47)</w:t>
      </w:r>
    </w:p>
    <w:p>
      <w:r>
        <w:rPr>
          <w:b/>
        </w:rPr>
        <w:t>E. 3.3</w:t>
      </w:r>
    </w:p>
    <w:p>
      <w:r>
        <w:t>Le poursuivant qui requiert la mainlevée provisoire sur la base de la cédule doit la produire. Lorsque la cédule est au porteur, on déduit en particulier des art. 869 al. 1 et 906 al. 1 CC que seul le créancier propriétaire de la cédule a qualité pour intenter une poursuite en réalisation de gage immobilier, car c'est lui seul qui est titulaire de la créance cédulaire. Pour que le poursuivant soit légitimé à poursuivre en réalisation de gage immobilier, il est donc nécessaire que la cédule lui ait été remise soit en pleine propriété soit en propriété à titre fiduciaire à fin de garantie (DENYS, Cédule hypothécaire et mainlevée, in JT 2008 II p. 7ss). En vertu de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gage immobilier, incorporée dans le papier-valeur (arrêt du Tribunal fédéral 5C.11/2005 du 27 mai 2005 consid. 3.2.1.).</w:t>
      </w:r>
    </w:p>
    <w:p>
      <w:r>
        <w:rPr>
          <w:b/>
        </w:rPr>
        <w:t>E. 3.4</w:t>
      </w:r>
    </w:p>
    <w:p>
      <w:r>
        <w:t>Aux termes de l'art. 69 al. 1 loi sur les fusions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Le contrat de transfert contient notamment un inventaire qui désigne clairement les objets du patrimoine actif et passif qui sont transférés; les immeubles, les papiers-valeurs et les valeurs immatérielles doivent être mentionnés individuellement (art. 71 al. 1 let. b LFus). Les objets du patrimoine actif ainsi que les créances et les droits immatériels qui ne peuvent être attribués sur la base de l'inventaire demeurent au sein du sujet transférant (art. 72 LFus).</w:t>
      </w:r>
    </w:p>
    <w:p>
      <w:r>
        <w:rPr>
          <w:b/>
        </w:rPr>
        <w:t>E. 3.5</w:t>
      </w:r>
    </w:p>
    <w:p>
      <w:r>
        <w:t>En l'espèce, au vu des principes rappelés ci-dessus, les arguments développés dans les recours interjetés contre les jugements JTPI/______ et JTPI/______ du 13 janvier 2017 (cf. supra EN FAIT, let. A.n.) ne semblent pas dépourvus de pertinence de sorte que, prima facie, les causes du recourant ne paraissent pas dénuées de toute chance de succès. En conséquence, les décisions de la Vice-présidente du Tribunal civil seront annulées et les causes lui seront renvoyées pour instruction complémentaire sur la question de l'indigence et nouvelles décisions. Pour le surplus, les requêtes d'effet suspensif sont sans objet.</w:t>
      </w:r>
    </w:p>
    <w:p>
      <w:r>
        <w:rPr>
          <w:b/>
        </w:rPr>
        <w:t>E. 4</w:t>
      </w:r>
    </w:p>
    <w:p>
      <w:r>
        <w:t>Sauf exceptions non réalisées en l'espèce, il n'est pas perçu de frais judiciaires pour la procédure d'assistance juridique (art. 119 al. 6 CPC). ![endif]&gt;![if&gt; * * * * * PAR CES MOTIFS, LE VICE-PRÉSIDENT DE LA COUR : Préalablement : Ordonne l'apport des procédures C/______ et C/______, ainsi que la jonction des recours interjetés par A______ contre les décisions rendues par la Vice-présidente du Tribunal civil les 20 mars et 3 avril 2017 dans les causes AC/533/2017 et AC/975/2017. A la forme : Déclare lesdits recours recevables. Au fond : Annule les décisions entreprises. Cela fait et statuant à nouveau : Renvoie les causes à la Vice-présidente du Tribunal civil pour instruction complémentaire et nouvelles décisions. Déboute A______ de toutes autres conclusions. Dit qu'il n'est pas perçu de frais judiciaires pour les recours. Notifie une copie de la présente décision à A______ en l'Étude de M e Jean-Daniel BORGEAUD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