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AC/974/2025 vom 14. April 2025</w:t>
      </w:r>
    </w:p>
    <w:p>
      <w:r>
        <w:t>GE Cour de justice, 2025-04-14, FR</w:t>
      </w:r>
    </w:p>
    <w:p>
      <w:r>
        <w:rPr>
          <w:b/>
        </w:rPr>
        <w:t xml:space="preserve">Quelle: </w:t>
      </w:r>
      <w:r>
        <w:t>https://mcp.opencaselaw.ch/entscheid/ge_gerichte_AC_974_2025</w:t>
      </w:r>
    </w:p>
    <w:p>
      <w:r>
        <w:t>FR: GE_GERICHTE AC/974/2025 du 14 avril 2025</w:t>
      </w:r>
    </w:p>
    <w:p>
      <w:r>
        <w:t>IT: GE_GERICHTE AC/974/2025 del 14 aprile 2025</w:t>
      </w:r>
    </w:p>
    <w:p>
      <w:pPr>
        <w:pStyle w:val="Heading2"/>
      </w:pPr>
      <w:r>
        <w:t>Erwägungen</w:t>
      </w:r>
    </w:p>
    <w:p>
      <w:r>
        <w:rPr>
          <w:b/>
        </w:rPr>
        <w:t>E. 1.1</w:t>
      </w:r>
    </w:p>
    <w:p>
      <w:r>
        <w:t>La décision entreprise est sujette à recours auprès de la présidence de la Cour de justice en tant qu'elle refuse partiellement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 du Tribunal fédéral 5A_177/2012 du 2 mai 2012 consid. 2.1; 5C_281/2001 du 6 décembre 2001 consid. 2c, publié in : SJ 2002 I p. 230). Il s'agit de déterminer si le maintien du lien légal, et non seulement de la vie commune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128 III 1 consid. 3a/cc; 129 III 1 consid. 2.2), des réactions excessives, suscitées par une susceptibilité particulièrement vive, étant toutefois insuffisantes (notamment : ATF 127 III 129 consid. 3b; arrêts du Tribunal fédéral 5A_177/2012 du 2 mai 2012 consid. 2.1; 5C_262/2001 du 17 janvier 2002 consid. 4a/bb; 5C_18/2002 du 14 mai 2002 consid. 2.2). Il est unanimement admis que les actes de violence mettant en péril la santé physique et psychique du conjoint demandeur peuvent constituer des motifs sérieux permettant de solliciter le divorce pour rupture du lien conjugal (notamment : ATF 126 III 404 consid. 4h; arrêts du Tribunal fédéral 5C_227/2001 du 10 octobre 2001 consid. 4a, publié in : FamPra.ch 2002 p. 136; 5C_281/2001 précité consid. 2c; 5A_177/2012 du 2 mai 2012 consid. 2.1 et les références citées).</w:t>
      </w:r>
    </w:p>
    <w:p>
      <w:r>
        <w:rPr>
          <w:b/>
        </w:rPr>
        <w:t>E. 2.2</w:t>
      </w:r>
    </w:p>
    <w:p>
      <w:r>
        <w:t>En l'espèce, le recourant reproche au premier juge de le placer sur un pied d'égalité avec son épouse lorsqu'il a retenu que les époux semblaient se disputer et se réconcilier régulièrement, alors qu'il était la victime, son épouse n'acceptant d'avoir des relations sexuelles avec lui que dans le seul but d'avoir un enfant, et ainsi de consolider son droit de séjour en Suisse, et non d'avoir des rapports empreints d'affection et de tendresse. Il n'en reste pas moins que le recourant n'a pas rendu vraisemblable être victime de violences sexuelles et psychologiques de la part de son épouse. Il ne résulte pas des certificats médicaux produits que le recourant serait victime de violences sexuelles puisqu'au contraire il s'est plaint du fait que son épouse faisait chambre à part depuis des mois. En outre, dans ces certificats médicaux, les médecins n'ont fait que rapporter les allégations du recourant sans que celles-ci ne soient corroborées par d'autres éléments. De même, le message que le recourant a écrit à son épouse ne constitue pas une preuve suffisante de l'existence d'agression sexuelle, celle-ci ayant répondu qu'elle était d'accord sur le fait qu'elle le laisserait désormais tranquille et non sur le fait qu'elle l'avait violenté sexuellement. Enfin, le fait que le recourant ait déposé une plainte pénale à l'encontre de son épouse n'est pas suffisant à rendre vraisemblables les faits qui lui sont reprochés, étant relevé qu'on ignore quelle suite a été donnée à cette plainte. Certes, les médecins ont constaté que le recourant se trouvait dans un état de fragilité émotionnelle. Il n'en reste pas moins qu'il n'est pas rendu vraisemblable que cela soit dû aux agissements de son épouse à son égard, les messages de cette dernière n'étant jamais agressifs. Compte tenu de ce qui précède, c'est à juste titre que le premier juge a considéré qu'il ne semblait pas que le lien du mariage soit devenu à ce point intolérable que le recourant ne pouvait plus supporter l'idée du maintien de ce lien jusqu'à l'échéance du délai prévu par l'art. 114 CC. Infondé, le recours sera, dès lors,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19 mai 2025 par A______ contre la décision rendue le 14 avril 2025 par la vice-présidence du Tribunal civil dans la cause AC/974/2025.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