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AC/96/2020 vom 13. Februar 2020</w:t>
      </w:r>
    </w:p>
    <w:p>
      <w:r>
        <w:t>GE Cour de justice, 2020-02-13, FR</w:t>
      </w:r>
    </w:p>
    <w:p>
      <w:r>
        <w:rPr>
          <w:b/>
        </w:rPr>
        <w:t xml:space="preserve">Quelle: </w:t>
      </w:r>
      <w:r>
        <w:t>https://mcp.opencaselaw.ch/entscheid/ge_gerichte_AC_96_2020</w:t>
      </w:r>
    </w:p>
    <w:p>
      <w:r>
        <w:t>FR: GE_GERICHTE AC/96/2020 du 13 février 2020</w:t>
      </w:r>
    </w:p>
    <w:p>
      <w:r>
        <w:t>IT: GE_GERICHTE AC/96/2020 del 13 febbraio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la pièce nouvellement produite et les faits qu'elle comporte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3.3</w:t>
      </w:r>
    </w:p>
    <w:p>
      <w:r>
        <w:t>3.3.1.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2C_325/2019 du 3 février 2020 consid. 2.2.1 ; 2C_841/2019 du 11 octobre 2019 consid. 3; 2C_737/2019 du 27 septembre 2019 consid. 4.1), les demandes déposées avant le 1 er janvier 2019 sont régies par l'ancien droit. En l'espèce, la décision de l'OCPM du 25 septembre 2019 fait référence à la demande de renouvellement d'autorisation de séjour en faveur de la recourante du 17 septembre 2018, de sorte que c'est l'ancien droit, soit la LEI et l'OASA dans leur teneur avant le 1 er janvier 2019, qui s'appliquent.</w:t>
      </w:r>
    </w:p>
    <w:p>
      <w:r>
        <w:rPr>
          <w:b/>
        </w:rPr>
        <w:t>E. 3.3.2</w:t>
      </w:r>
    </w:p>
    <w:p>
      <w:r>
        <w:t>L'Accord entre la Confédération suisse d'une part, et la Communauté européenne et ses États membres, d'autre part, sur la libre circulation des personnes du 21 juin 1999 (ALCP - RS 0.142.112.681), entré en vigueur pour la Suisse le 1 er juin 2002, est applicable aux ressortissants des pays membres de l'Union européenne (ci-après : UE), dont fait partie la France, et de l'Association Européenne de Libre Échange (ci-après : AELE), pour autant que le droit national - à savoir la LEI et ses ordonnances d'exécution, en particulier l'OASA - ne soit pas plus favorable ou que l'ALCP n'en dispose pas autrement (art. 12 ALCP; art. 2 al. 2 et 3 LEI). La situation juridique de la recourante, de nationalité française, doit ainsi être examinée sous l'angle de l'ALCP et de la LEI.</w:t>
      </w:r>
    </w:p>
    <w:p>
      <w:r>
        <w:rPr>
          <w:b/>
        </w:rPr>
        <w:t>E. 3.3.3</w:t>
      </w:r>
    </w:p>
    <w:p>
      <w:r>
        <w:t>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Etats membres de l'Association européenne de libre-échange du 22 mai 2002 - OLCP - RS 142.203).</w:t>
      </w:r>
    </w:p>
    <w:p>
      <w:r>
        <w:rPr>
          <w:b/>
        </w:rPr>
        <w:t>E. 3.3.4</w:t>
      </w:r>
    </w:p>
    <w:p>
      <w:r>
        <w:t>Les droits d'entrée, de séjour et d'accès à une activité économique conformément à l'ALCP, y compris le droit de demeurer sur le territoire d'une partie contractante après la fin d'une activité économique, sont réglés par l'annexe 1 de l'accord (art. 3, 4 et 7 let. c ALCP). Selon l'art. 6 § 1 annexe 1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w:t>
      </w:r>
    </w:p>
    <w:p>
      <w:r>
        <w:rPr>
          <w:b/>
        </w:rPr>
        <w:t>E. 3.3.5</w:t>
      </w:r>
    </w:p>
    <w:p>
      <w:r>
        <w:t>Quant à un droit de séjour sans activité lucrative, l'art. 24 §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sont considérés comme suffisants lorsqu'ils dépassent le montant en dessous duquel les nationaux, eu égard à leur situation personnelle et, le cas échéant, celle des membres de leur famille, peuvent prétendre à des prestations d'assistance (art. 24 § 2 annexe I ALCP).</w:t>
      </w:r>
    </w:p>
    <w:p>
      <w:r>
        <w:rPr>
          <w:b/>
        </w:rPr>
        <w:t>E. 3.3.6</w:t>
      </w:r>
    </w:p>
    <w:p>
      <w:r>
        <w:t>En l'espèce, la recourante a été mise au bénéfice d'une autorisation de séjour UE/AELE afin d'effectuer un apprentissage de ______. Elle a obtenu son CFC au cours de l'été 2017. Toutefois, il n'apparaît pas que, depuis l'obtention de son diplôme, elle ait exercé une activité lucrative. En outre, elle bénéficie depuis le 1 er janvier 2013 de prestations de l'hospice pour un montant total de 144'912 fr. 25. Pour ces deux motifs, la recourante ne peut a priori pas prétendre au renouvellement de son autorisation de séjour fondée sur l'ALCP.</w:t>
      </w:r>
    </w:p>
    <w:p>
      <w:r>
        <w:rPr>
          <w:b/>
        </w:rPr>
        <w:t>E. 3.3.7</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ATA/35/2020 du 14 janvier 2020 consid. 3a). Selon la jurisprudence, le fait que l'étranger ait séjourné en Suisse durant une assez longue période, qu'il s'y soit bien intégré et que son comportement n'ait pas fait l'objet de plaintes ne suffit pas, à lui seul, à constituer de tels motifs importants;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arrêt du Tribunal fédéral 2C_873/2013 du 25 mars 2014 consid. 4.1, non publié in ATF 140 II 289 , et les références).</w:t>
      </w:r>
    </w:p>
    <w:p>
      <w:r>
        <w:rPr>
          <w:b/>
        </w:rPr>
        <w:t>E. 3.3.8</w:t>
      </w:r>
    </w:p>
    <w:p>
      <w:r>
        <w:t>En l'occurrence, la recourante soutient être arrivée en Suisse à l'âge de 16 ans et y résider depuis douze ans, sous déduction d'une période de dix mois au cours de laquelle elle a vécu à l'étranger avec sa mère. Malgré cette longue période de douze ans, rien dans le dossier ne permet, à ce stade, de retenir qu'elle entretiendrait à Genève des liens si étroits qu'un retour dans son pays d'origine ne pourrait être envisagé. On ignore au surplus tout de la relation qu'elle entretient avec son concubin. Elle n'a en outre jamais exercé d'activité lucrative en Suisse après son CFC obtenu en été 2017 et dépend de l'aide sociale depuis plusieurs années. Enfin et a priori, les conditions de sa réintégration sociale en France ne semblent pas fortement compromises. Elle y a passé son enfance et une majeure partie de son adolescence, période cruciale pour la formation de la personnalité et, partant, pour l'intégration sociale et culturelle. Elle pourrait en outre faire valoir sa formation professionnelle acquise en Suisse. Dans ces circonstances, il ne semble pas que l'OCPM ait abusé de son pouvoir d'appréciation en estimant qu'aucun motif déterminant ne justifiait la délivrance d'une autorisation de séjour en faveur de la recourante, que ce soit sur la base de l'ALCP, de l'art. 20 OLCP ou de l'art. 31 OASA.</w:t>
      </w:r>
    </w:p>
    <w:p>
      <w:r>
        <w:rPr>
          <w:b/>
        </w:rPr>
        <w:t>E. 3.3.9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possible lorsque l'intéressé ne peut quitter la Suisse pour son État d'origine, son Etat de provenance ou un Etat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et à première vue, il n'apparaît pas du dossier que l'exécution du renvoi serait impossible, illicite ou inexigible au regard de l'art. 83 LEI, aucun élément relatif à sa santé psychologique n'étant documenté. Compte tenu de ce qui précède, c'est de manière conforme au droit que l'autorité de première instance a refusé d'octroyer le bénéfice de l'assistance juridique à la recourante, au motif que le recours interjeté contre la décision de l'OCPM du 25 septembre 2019 paraissait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13 février 2020 par la Vice-présidente du Tribunal de première instance dans la cause AC/96/2020.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