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AC/910/2017 vom 10. Mai 2017</w:t>
      </w:r>
    </w:p>
    <w:p>
      <w:r>
        <w:t>GE Cour de justice, 2017-05-10, FR</w:t>
      </w:r>
    </w:p>
    <w:p>
      <w:r>
        <w:rPr>
          <w:b/>
        </w:rPr>
        <w:t xml:space="preserve">Quelle: </w:t>
      </w:r>
      <w:r>
        <w:t>https://mcp.opencaselaw.ch/entscheid/ge_gerichte_AC_910_2017</w:t>
      </w:r>
    </w:p>
    <w:p>
      <w:r>
        <w:t>FR: GE_GERICHTE AC/910/2017 du 10 mai 2017</w:t>
      </w:r>
    </w:p>
    <w:p>
      <w:r>
        <w:t>IT: GE_GERICHTE AC/910/2017 del 10 maggio 2017</w:t>
      </w:r>
    </w:p>
    <w:p>
      <w:pPr>
        <w:pStyle w:val="Heading2"/>
      </w:pPr>
      <w:r>
        <w:t>Regeste</w:t>
      </w:r>
    </w:p>
    <w:p>
      <w:r>
        <w:t>CHANCES DE SUCCÈS ; ACTION EN MODIFICATION ; DIVORCE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La modification de la contribution d'entretien de l'enfant fixée dans un jugement de divorce est régie par l'art. 286 al. 2 CC, applicable par renvoi de l'art. 134 al. 2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(ATF 137 III 604 consid. 4.1.1; 131 III 189 consid. 2.7.4; 120 II 177 consid. 3a, 285 consid. 4b).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 du Tribunal fédéral 5A_677/2016 du 16 février 2017 consid. 2.1.1). La maladie de longue durée, l'invalidité, des besoins en formation particuliers, la perte d'emploi de l'un des parents, la prise d'une activité lucrative par l'enfant, voire une modification de la situation familiale du débiteur avec de nouvelles obligations d'entretien à sa charge, telles que la naissance d'enfants, sont des exemples de changements pouvant revêtir un caractère notable (Meier/Stettler, Droit de la filiation, 2014, p. 736, n° 1102). Le moment déterminant pour apprécier si des circonstances nouvelles se sont produites est la date du dépôt de la demande de modification du jugement de divorce (ATF 137 III 604 consid. 4.1; 120 II 285 consid. 4b; arrêt du Tribunal fédéral 5A_260/2016 du 14 octobre 2016 consid. 2.1.1). 3.1.3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L'art. 273 al. 1 CC dispose que le père ou la mère qui ne détient pas la garde ainsi que l'enfant mineur ont réciproquement le droit d'entretenir les relations personnelles indiquées par les circonstances. Les conditions de la modification des relations personnelles instaurées dans un jugement de divorce sont définies par les dispositions relatives aux effets de la filiation, à savoir l'art. 273 CC pour le principe et l'art. 274 CC pour les limites (art. 134 al. 2 CC). L'action en modification ne doit pas aboutir à recommencer la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(ATF 100 II 76 consid. 1 p. 78; arrêts 5A_381/2010 du 21 juillet 2010 consid. 4.2; 5C.271/2001 du 19 mars 2002 consid. 3b, in FamPra.ch 2002 p. 601).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(ATF 111 II 405 consid. 3; 100 II 81 consid. 1 à 3 ; arrêt 5A_120/2013 du 23 mai 2013 consid. 2.1.1). 3.2.1 En l'espèce, lors du prononcé du divorce le recourant était sans emploi et au bénéfice de prestations de l’Hospice général. Il en va de même actuellement. Le juge du divorce avait considéré qu’au vu de l’âge du recourant – alors âgé de 30 ans – et de sa formation dans le domaine de l’Hôtellerie, celui-ci était en mesure de trouver un emploi et de réaliser un revenu hypothétique qui a été fixé à 3'500 fr. A ce jour, le recourant est âgé 36 ans. Il est encore loin de l’âge de la retraite et n’a pas rendu vraisemblable ne pas être en mesure de travailler – le certificat médical produit en appel étant irrecevable et n’attestant pas pour le surplus d’une incapacité de travailler du recourant – de sorte qu’il peut toujours être exigé de lui qu’il trouve un emploi dans le domaine de l’hôtellerie, cas échéant dans un autre domaine, tel le nettoyage. Par conséquent, aucun élément nouveau n’est survenu depuis le prononcé du jugement de divorce. 3.2.2 S’agissant des relations personnelles, le recourant n’a pas pris contact depuis 2013 avec la guidance infantile ou un psychiatre dans le but de remplir les conditions qui lui permettraient d’exercer à nouveau son droit de visite. Dès lors que cela fait plusieurs années que les autorités lui demandent d’agir en ce sens et qu’il s’y refuse, coupant pour le surplus tout lien avec le curateur, le recourant échoue à rendre vraisemblable qu’il va prochainement entreprendre ces démarches, seules conditions auxquelles il peut espérer revoir ses enfants. Dès lors, les chances que le recourant puisse obtenir le rétablissement de son droit de visite sont, en l’état, extrêmement faibles.</w:t>
      </w:r>
    </w:p>
    <w:p>
      <w:r>
        <w:rPr>
          <w:b/>
        </w:rPr>
        <w:t>E. 3.3</w:t>
      </w:r>
    </w:p>
    <w:p>
      <w:r>
        <w:t>Au vu de ce qui précède, c’est à juste titre que le premier juge a considéré que, en l’état, l’action en modification du jugement de divorce envisagée par le recourant semblait dénuée de chance de succès. Le recours sera ainsi rejeté.</w:t>
      </w:r>
    </w:p>
    <w:p>
      <w:r>
        <w:rPr>
          <w:b/>
        </w:rPr>
        <w:t>E. 4</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