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AC/894/2020 vom 17. April 2020</w:t>
      </w:r>
    </w:p>
    <w:p>
      <w:r>
        <w:t>GE Cour de justice, 2020-04-17, FR</w:t>
      </w:r>
    </w:p>
    <w:p>
      <w:r>
        <w:rPr>
          <w:b/>
        </w:rPr>
        <w:t xml:space="preserve">Quelle: </w:t>
      </w:r>
      <w:r>
        <w:t>https://mcp.opencaselaw.ch/entscheid/ge_gerichte_AC_894_2020</w:t>
      </w:r>
    </w:p>
    <w:p>
      <w:r>
        <w:t>FR: GE_GERICHTE AC/894/2020 du 17 avril 2020</w:t>
      </w:r>
    </w:p>
    <w:p>
      <w:r>
        <w:t>IT: GE_GERICHTE AC/894/2020 del 17 aprile 2020</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w:t>
      </w:r>
    </w:p>
    <w:p>
      <w:r>
        <w:t>La recourante reproche à la Vice-présidente du Tribunal de première instance d'avoir considéré que la procédure envisagée ne relevait pas d'un fait nouveau mais d'une demande de correction du jugement sur mesures protectrices de l'union conjugale et qu'ainsi elle serait dénuée de chances de succès.</w:t>
      </w:r>
    </w:p>
    <w:p>
      <w:r>
        <w:rPr>
          <w:b/>
        </w:rPr>
        <w:t>E. 3.1</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3.1.2</w:t>
      </w:r>
    </w:p>
    <w:p>
      <w:r>
        <w:t>Une fois que des mesures protectrices de l'union conjugale ont été ordonnées, elles ne peuvent être modifiées qu'aux conditions de l'art. 179 CC. Aux termes de l'art. 179 al. 1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notamment en matière de revenus, à savoir notamment si un changement significatif et non temporaire est survenu postérieurement à la date à laquelle la décision a été rendue (ATF 129 III 60 consid. 2 p. 61 ss; arrêts du Tribunal fédéral 5A_64/2018 du 14 août 2018 consid. 3.1 et les arrêts cités). Le moment déterminant pour apprécier si des circonstances nouvelles se sont produites est la date du dépôt de la demande de modification des mesures protectrices (ATF 137 III 604 consid. 4.1.1; arrêt du Tribunal fédéral 5A_547/2012 du 14 mars 2013 consid. 4.2). Il a notamment été retenu qu'une période de chômage supérieure à quatre mois pouvait être considérée comme durable (arrêt 5P.445/2004 du 9 mars 2005 consid. 2.3), étant relevé que la question de savoir si la période de chômage était durable dépendait des circonstances concrètes de chaque cas d'espèce, en particulier de la situation économique (arrêt 5A_217/2009 du 30 octobre 2009 consid. 3.2).</w:t>
      </w:r>
    </w:p>
    <w:p>
      <w:r>
        <w:rPr>
          <w:b/>
        </w:rPr>
        <w:t>E. 3.2</w:t>
      </w:r>
    </w:p>
    <w:p>
      <w:r>
        <w:t>En l'espèce, c'est à tort que le premier juge a considéré que la recourante réclamait une correction du jugement sur mesures protectrices. En effet, elle fait valoir des faits nouveaux - ne pas avoir trouvé d'emploi malgré des recherches assidues et devoir garder sa fille pendant la pandémie - qui peuvent, selon la jurisprudence, justifier d'entrer en matière sur une modification des mesures protectrices, pour autant que ces faits nouveaux entraînent une péjoration importante et durable de la situation financière de la recourante. Par ailleurs, en raison du confinement ordonné par le Conseil fédéral dès le 13 mars 2020, la recourante n'a vraisemblablement pas pu mener à bien les recherches d'emploi qui étaient exigées d'elle pour trouver un travail dès le 1 er avril 2020. Il s'agit d'un fait nouveau qui peut être pris en considération dans le cadre d'une modification des mesures protectrices de l'union conjugale. Le délai pour retrouver un emploi fixé à la recourante pourrait ainsi être prolongé par le juge des mesures protectrices, ce dernier pouvant a priori considérer que les chances pour la recourante signer un contrat de travail seront plus faibles depuis la pandémie, cette dernière ayant eu une influence sur le marché de l'emploi. Compte tenu de ce qui précède, la procédure que la recourante désire initier n'est donc pas dénuée de chances de succès. Cela étant, la recourante a fait valoir que son époux, qui réalise un revenu de plus de 8'000 fr. par mois, disposerait d'un solde "confortable". Or, il est de jurisprudence constante que le devoir de l'Etat d'accorder l'assistance judiciaire à un plaideur impécunieux dans une cause non dénuée de chances de succès est subsidiaire par rapport aux obligations d'assistance découlant du droit de la famille (ATF 138 III 163 ). Par conséquent, se pose la question de savoir s'il peut être exigé de la recourante de demander une provisio ad litem de la part de son époux dans le cadre de la demande en modification, avant de solliciter l'assistance juridique. Au vu de ce qui précède, la décision querellée sera annulée et la cause retournée au premier juge examen de la condition d'indigence, notamment d'une provisio ad litem .</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le 7 mai 2020 par A______ contre la décision rendue le 17 avril 2020 par la Vice-présidente du Tribunal de première instance dans la cause AC/894/2020. Au fond : Annule la décision entreprise. Cela fait : Renvoie la cause à la Vice-présidente du Tribunal civil pour instruction complémentaire et nouvelle décision au sens des considérants. Déboute A______ de toutes autres conclusions. Dit qu'il n'est pas perçu de frais judiciaires pour le recours. Notifie une copie de la présente décision à A______ en l'Étude de Me Ninon PULVER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