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AC/83/2024 vom 26. März 2024</w:t>
      </w:r>
    </w:p>
    <w:p>
      <w:r>
        <w:t>GE Cour de justice, 2024-03-26, FR</w:t>
      </w:r>
    </w:p>
    <w:p>
      <w:r>
        <w:rPr>
          <w:b/>
        </w:rPr>
        <w:t xml:space="preserve">Quelle: </w:t>
      </w:r>
      <w:r>
        <w:t>https://mcp.opencaselaw.ch/entscheid/ge_gerichte_AC_83_2024</w:t>
      </w:r>
    </w:p>
    <w:p>
      <w:r>
        <w:t>FR: GE_GERICHTE AC/83/2024 du 26 mars 2024</w:t>
      </w:r>
    </w:p>
    <w:p>
      <w:r>
        <w:t>IT: GE_GERICHTE AC/83/2024 del 26 marzo 2024</w:t>
      </w:r>
    </w:p>
    <w:p>
      <w:pPr>
        <w:pStyle w:val="Heading2"/>
      </w:pPr>
      <w:r>
        <w:t>Erwägungen</w:t>
      </w:r>
    </w:p>
    <w:p>
      <w:r>
        <w:rPr>
          <w:b/>
        </w:rPr>
        <w:t>E. 1.1</w:t>
      </w:r>
    </w:p>
    <w:p>
      <w:r>
        <w:t>La décision entreprise, rendue en procédure en sommaire (art. 119 al. 3 CPC),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a été déposé dans le délai utile et selon la forme prescrite par la loi, sous réserve de l'exigence de motivation du recours qui fait l'objet du chiffre 2 ci-après.</w:t>
      </w:r>
    </w:p>
    <w:p>
      <w:r>
        <w:rPr>
          <w:b/>
        </w:rPr>
        <w:t>E. 2</w:t>
      </w:r>
    </w:p>
    <w:p>
      <w:r>
        <w:t>La recourante expose être mère célibataire de trois enfants, étudiante, et disposer de faibles revenus, car elle ne perçoit pas de bourse d'études. Elle a conscience du faible montant en cause et sollicite l'assistance juridique afin d'être exonérée des frais judiciaires.</w:t>
      </w:r>
    </w:p>
    <w:p>
      <w:r>
        <w:rPr>
          <w:b/>
        </w:rPr>
        <w:t>E. 2.1</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Pour satisfaire à son obligation de motiver prévue à l'art. 311 al. 1 CPC [respectivement 321 al. 1 CPC], l'appelant [le recourant (arrêts du Tribunal fédéral 4A_522/2022 du 30 novembre 2022 consid. 6; 4A_153/2022 du 7 avril 2022 consid. 3.2)] doit démontrer le caractère erroné de la motivation de la décision attaquée par une argumentation suffisamment explicite pour que la seconde instance puisse la comprendre aisément, ce qui suppose une désignation précise des passages de la décision qu'il attaque et des pièces du dossier sur lesquelles repose sa critique. Même si la seconde instance applique le droit d'office (art. 57 CPC), le procès se présente différemment en seconde instance, vu la décision déjà rendue. L'appelant [le recourant]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[le recours] est irrecevable (ATF 147 III 176 consid. 4.2.1; arrêts du Tribunal fédéral 5A_647/2023 du 5 mars 2024 consid. 5.2; 5A_524/2023 du 14 décembre 2023 consid. 3.3.1 et les références citées). La juridiction de recours n'entre pas en matière sur un acte ne contenant aucune motivation par laquelle il est possible de discerner en quoi la juridiction inférieure a erré (art. 320 let. a et b CPC).</w:t>
      </w:r>
    </w:p>
    <w:p>
      <w:r>
        <w:rPr>
          <w:b/>
        </w:rPr>
        <w:t>E. 2.2</w:t>
      </w:r>
    </w:p>
    <w:p>
      <w:r>
        <w:t>En l'espèce, la recourante ne se plaint d'aucune constatation manifestement inexacte des faits retenus par la vice-présidence du Tribunal civil, de sorte qu'en application de l'art. 320 let. b CPC, son recours n'est pas recevable à cet égard. De plus, elle n'invoque aucune violation de la loi, selon l'exigence de l'art. 320 let. a CPC, de sorte que son recours n'est pas recevable. N'ayant ainsi pas satisfait à son obligation de motiver son recours, celui-ci sera, dès lors, déclaré irrecevable.</w:t>
      </w:r>
    </w:p>
    <w:p>
      <w:r>
        <w:rPr>
          <w:b/>
        </w:rPr>
        <w:t>E. 3</w:t>
      </w:r>
    </w:p>
    <w:p>
      <w:r>
        <w:t>Sauf exceptions non réalisées en l'espèce, il n'est pas perçu de frais judiciaires pour la procédure d'assistance juridique (art. 119 al. 6 CPC). Il n'y a pas lieu à l'octroi de dépens. * * * * * PAR CES MOTIFS, LA VICE-PRÉSIDENTE DE LA COUR : Déclare irrecevable le recours formé par A______ contre la décision rendue le 26 mars 2024 par la vice-présidence du Tribunal civil dans la cause AC/83/2024.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