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AC/831/2015 vom 18. März 2015</w:t>
      </w:r>
    </w:p>
    <w:p>
      <w:r>
        <w:t>GE Cour de justice, 2015-03-18, FR</w:t>
      </w:r>
    </w:p>
    <w:p>
      <w:r>
        <w:rPr>
          <w:b/>
        </w:rPr>
        <w:t xml:space="preserve">Quelle: </w:t>
      </w:r>
      <w:r>
        <w:t>https://mcp.opencaselaw.ch/entscheid/ge_gerichte_AC_831_2015</w:t>
      </w:r>
    </w:p>
    <w:p>
      <w:r>
        <w:t>FR: GE_GERICHTE AC/831/2015 du 18 mars 2015</w:t>
      </w:r>
    </w:p>
    <w:p>
      <w:r>
        <w:t>IT: GE_GERICHTE AC/831/2015 del 18 marzo 2015</w:t>
      </w:r>
    </w:p>
    <w:p>
      <w:pPr>
        <w:pStyle w:val="Heading2"/>
      </w:pPr>
      <w:r>
        <w:t>Regeste</w:t>
      </w:r>
    </w:p>
    <w:p>
      <w:r>
        <w:t>DÉNUEMENT; NÉCESSITÉ; AVOCAT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![endif]&gt;![if&gt; Le recours, écrit et motivé, est introduit auprès de l'instance de recours (art. 321 al. 1 CPC) dans un délai de dix jours (art. 321 al. 2 CPC et 11 RAJ). En l'espèce, l'indication d'un délai de recours de 30 jours dans la décision querellée est donc erronée.</w:t>
      </w:r>
    </w:p>
    <w:p>
      <w:r>
        <w:rPr>
          <w:b/>
        </w:rPr>
        <w:t>E. 1.2</w:t>
      </w:r>
    </w:p>
    <w:p>
      <w:r>
        <w:t>On déduit du principe général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(arrêt du Tribunal fédéral 5A_614/2014 du 20 novembre 2014 consid. 4.1, ATF 138 I 49 consid. 8.3.2).</w:t>
      </w:r>
    </w:p>
    <w:p>
      <w:r>
        <w:rPr>
          <w:b/>
        </w:rPr>
        <w:t>E. 1.3</w:t>
      </w:r>
    </w:p>
    <w:p>
      <w:r>
        <w:t>En l'espèce, le recours a été formé après la fin du délai de 10 jours arrivant à échéance le 2 avril 2015. Cependant, dès lors que le recourant plaide en personne et qu'il a respecté le délai de 30 jours indiqué - de manière erronée - dans la décision querellée, il serait contraire au principe de la bonne foi de déclarer irrecevable son recours, qui est par ailleurs conforme à la forme prescrite par la loi. Le recours est, dès lors, recevable.</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w:t>
      </w:r>
    </w:p>
    <w:p>
      <w:r>
        <w:rPr>
          <w:b/>
        </w:rPr>
        <w:t>E. 2.2</w:t>
      </w:r>
    </w:p>
    <w:p>
      <w:r>
        <w:t>En l'espèce, le recourant ne critique par le solde disponible retenu par l'autorité de première instance. Selon lui, un important travail d'avocat sera cependant nécessaire pour assurer sa défense. Le recourant à toutefois d'ores et déjà formé opposition au commandement de payer poursuite numéro 1______ et n'a rien d'autre à entreprendre en l'état. En effet, à ce stade de la poursuite, il appartient au créancier d'utiliser les moyens légaux à sa disposition. L'assistance d'un avocat n'est, dès lors, pas nécessaire pour l'instant en tout cas. Par conséquent, c'est à juste titre et sans d'une quelconque manière violer le droit d'être entendu du recourant, que l'autorité de première instance a retenu que les conditions d'octroi de l'assistance juridique n'étaient pas remplies. Compte tenu de ce qui précède, le recours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mars 2015 par le Vice-président du Tribunal civil dans la cause AC/831/2015.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