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AC/827/2018 vom 4. Dezember 2019</w:t>
      </w:r>
    </w:p>
    <w:p>
      <w:r>
        <w:t>GE Cour de justice, 2019-12-04, FR</w:t>
      </w:r>
    </w:p>
    <w:p>
      <w:r>
        <w:rPr>
          <w:b/>
        </w:rPr>
        <w:t xml:space="preserve">Quelle: </w:t>
      </w:r>
      <w:r>
        <w:t>https://mcp.opencaselaw.ch/entscheid/ge_gerichte_AC_827_2018</w:t>
      </w:r>
    </w:p>
    <w:p>
      <w:r>
        <w:t>FR: GE_GERICHTE AC/827/2018 du 4 décembre 2019</w:t>
      </w:r>
    </w:p>
    <w:p>
      <w:r>
        <w:t>IT: GE_GERICHTE AC/827/2018 del 4 dicembre 2019</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En procédure civile, les citations, ordonnances, décisions et actes des parties sont notifiés par envoi recommandé ou d'une autre manière contre accusé de réception (art. 138 al. 1 CPC). L'acte est réputé notifié lorsqu'il a été remis au destinataire, à un de ses employés ou à une personne de seize ans au moins vivant dans le même ménage (art. 138 al. 2 CPC). 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 Lorsque la partie est représentée, les actes sont notifiés à son représentant (art. 137 CPC). Celui-ci est en principe le mieux à même de saisir la portée des communications judiciaires et de transmettre ensuite les informations nécessaires à son mandant (Bohnet, CR CPC, 2 ème éd. 2019, n. 3 ad art. 137 CPC). En cas de représentation par un avocat, l'adresse professionnelle de celui-ci constitue toujours un domicile de notification (ATF 144 IV 64 consid. 2.5; 143 III 28 consid. 2.2.1; arrêt du Tribunal fédéral 5A_512/2018 du 26 septembre 2018 consid. 3.4.1.1).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 Le courrier impartissant un délai au bénéficiaire de l'assistance juridique pour qu'il se détermine au sujet du réexamen de sa situation financière doit être adressé à son conseil nommé d'office, quand bien même celui-ci a déjà été rémunéré par l'Etat de Genève pour l'activité qu'il avait déployée en faveur dudit bénéficiaire de l'assistance juridique ( DAAJ/5/2018 du 26 janvier 2018 consid. 3.1.2 et DAAJ/68/2017 du 17 juillet 2017 consid. 2.2.2 et 2.3). La décision condamnant ledit bénéficiaire au remboursement de l'assistance juridique doit également être notifiée à son conseil ( DAAJ/5/2018 du 26 janvier 2018 consid. 3.1.2 et DAAJ/68/2017 du 17 juillet 2017 consid. 2.2.2 et 2.3).</w:t>
      </w:r>
    </w:p>
    <w:p>
      <w:r>
        <w:rPr>
          <w:b/>
        </w:rPr>
        <w:t>E. 2.2</w:t>
      </w:r>
    </w:p>
    <w:p>
      <w:r>
        <w:t>En l'espèce, par courrier recommandé du 30 octobre 2019, le greffe de l'Assistance juridique a imparti à la recourante un délai au 19 novembre 2019 pour qu'elle lui communique les éléments utiles pour le réexamen de sa situation financière. Cette lettre, qu'elle a reçue le 2 novembre 2019, lui a été adressée directement. Or, conformément aux DAAJ/5/2018 du 26 janvier 2018 et DAAJ/68/2017 du 17 juillet 2017, ce courrier aurait dû être notifié à Me E______, avocat, lequel avait été commis d'office pour la représenter dans le cadre de la procédure prud'homale C/1______/2018, cela quand bien même il avait déjà été défrayé par l'Etat de Genève pour son activité déployée dans cette cause. Cela était d'autant plus indispensable en l'occurrence que l'Assistance juridique savait que la recourante était illettrée, ne parlait ni n'écrivait le français et que l'issue de la procédure prud'homale n'est pas connue. Il s'ensuit que le courrier du greffe de l'Assistance juridique du 30 octobre 2019 n'a pas été notifié valablement à la recourante, de sorte que le Vice-président du Tribunal civil ne pouvait tirer aucune conséquence juridique de l'absence de réaction de celle-là. Il ne pouvait dès lors pas la condamner au remboursement de la somme de 6'815 fr. par décision du 4 décembre 2019. Le fait que la recourante agisse en personne en seconde instance n'infirme pas ce raisonnement (cf. DAAJ/68/2017 du 17 juillet 2017 consid. 2.3). La décision du Vice-président du Tribunal civil du 4 décembre 2019 sera dès lors annulée et la cause renvoyée à l'Autorité de première instance pour réexamen de la situation financière de la recourante en impartissant un délai à son conseil pour ce faire et nouvelle décision.</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4 décembre 2019 par le Vice-président du Tribunal civil dans la cause AC/827/2018. Au fond : Annule la décision entreprise.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