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AC/824/2020 vom 22. April 2020</w:t>
      </w:r>
    </w:p>
    <w:p>
      <w:r>
        <w:t>GE Cour de justice, 2020-04-22, FR</w:t>
      </w:r>
    </w:p>
    <w:p>
      <w:r>
        <w:rPr>
          <w:b/>
        </w:rPr>
        <w:t xml:space="preserve">Quelle: </w:t>
      </w:r>
      <w:r>
        <w:t>https://mcp.opencaselaw.ch/entscheid/ge_gerichte_AC_824_2020</w:t>
      </w:r>
    </w:p>
    <w:p>
      <w:r>
        <w:t>FR: GE_GERICHTE AC/824/2020 du 22 avril 2020</w:t>
      </w:r>
    </w:p>
    <w:p>
      <w:r>
        <w:t>IT: GE_GERICHTE AC/824/2020 del 22 aprile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 jurisprudence, approuvée par la doctrine, les créances non incorporées dans des papiers-valeurs sont en principe séquestrées au domicile de leur titulaire, le débiteur poursuivi. Si ce dernier n'est pas domicilié en Suisse, la créance est séquestrée au domicile ou au siège du tiers débiteur en Suisse. Lorsque le poursuivi, domicilié à l'étranger, tire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demeure au domicile ou au siège du tiers débiteur (ATF 128 III 473 consid. 3 et les références citées).</w:t>
      </w:r>
    </w:p>
    <w:p>
      <w:r>
        <w:rPr>
          <w:b/>
        </w:rPr>
        <w:t>E. 3.3</w:t>
      </w:r>
    </w:p>
    <w:p>
      <w:r>
        <w:t>L'application des principes précités au cas d'espèce aurait dû mener l'Autorité de première instance à admettre les chances de succès de la requête de séquestre que souhaitait déposer la recourante. En effet, dans la mesure où le poursuivi (i.e. l'ex-époux de la recourante) tire la créance que souhaite séquestrer la recourante (i.e. son salaire) de ses relations avec une succursale genevoise du tiers débiteur (i.e. son employeur), il existait un point de rattachement prépondérant avec cette succursale, à Genève, ce indépendamment de l'existence ou non d'un deuxième objet à séquestrer à Genève, à savoir la somme de 15'743 fr. 40. La décision querellée sera par conséquent annulée et la cause renvoyée à l'Autorité de première instance pour instruction complémentaire sur la condition d'indigence, puis nouvelle décision.</w:t>
      </w:r>
    </w:p>
    <w:p>
      <w:r>
        <w:rPr>
          <w:b/>
        </w:rPr>
        <w:t>E. 4</w:t>
      </w:r>
    </w:p>
    <w:p>
      <w:r>
        <w:t>Sauf exceptions non réalisées en l'espèce, il n'est pas perçu de frais judiciaires pour la procédure d'assistance juridique (art. 119 al. 6 CPC). Compte tenu de l'issue du litige, l'Etat de Genève sera condamné à verser 400 fr. à la recourante à titre de dépens (ATF 140 III 501 consid. 4). * * * * * PAR CES MOTIFS, LE VICE-PRÉSIDENT DE LA COUR : A la forme : Déclare recevable le recours formé le 4 mai 2020 par A______ contre la décision rendue le 22 avril 2020 par la Vice-présidente du Tribunal de première instance dans la cause AC/824/2020. Au fond : Annule la décision entreprise. Cela fait : Renvoie la cause à la Vice-Présidente du Tribunal de première instance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Cédric DURUZ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