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AC/820/2021 vom 28. April 2022</w:t>
      </w:r>
    </w:p>
    <w:p>
      <w:r>
        <w:t>GE Cour de justice, 2022-04-28, FR</w:t>
      </w:r>
    </w:p>
    <w:p>
      <w:r>
        <w:rPr>
          <w:b/>
        </w:rPr>
        <w:t xml:space="preserve">Quelle: </w:t>
      </w:r>
      <w:r>
        <w:t>https://mcp.opencaselaw.ch/entscheid/ge_gerichte_AC_820_2021</w:t>
      </w:r>
    </w:p>
    <w:p>
      <w:r>
        <w:t>FR: GE_GERICHTE AC/820/2021 du 28 avril 2022</w:t>
      </w:r>
    </w:p>
    <w:p>
      <w:r>
        <w:t>IT: GE_GERICHTE AC/820/2021 del 28 aprile 2022</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de l'art. 326 al. 1 CPC, les allégations de faits et les preuves nouvelles sont irrecevables dans le cadre d'une procédure de recours.![endif]&gt;![if&gt; Par conséquent, les allégués de faits dont la recourante n'a pas fait état en première instance et les pièces nouvelles ne seront pas pris en considération.</w:t>
      </w:r>
    </w:p>
    <w:p>
      <w:r>
        <w:rPr>
          <w:b/>
        </w:rPr>
        <w:t>E. 3.1</w:t>
      </w:r>
    </w:p>
    <w:p>
      <w:r>
        <w:t>Selon l'art. 123 al. 1 CPC, une partie ayant bénéficié de l'assistance judiciaire est tenue de la rembourser dès qu'elle est en mesure de le faire. La créance en remboursement de l'Etat se prescrit par dix ans à compter de la fin du procès pour lequel l'assistance judiciaire a été octroyée (art. 123 al. 2 CPC). ![endif]&gt;![if&gt; L'obligation conditionnelle de remboursement instaurée par cette disposition a été concrétisée en droit genevois par l'art. 19 al. 3 RAJ, qui prévoit que le paiement de l'intégralité des prestations de l'Etat peut être exigé de la personne bénéficiaire de l'assistance juridique si sa situation s'est améliorée ou si elle est de toute manière en mesure d'effectuer un paiement . La créance en remboursement de l'Etat est une prétention de droit public (ATF 138 II 506 consid. 1) qui naît au moment de la réalisation de la condition suspensive de l'aptitude à rembourser (arrêt du Tribunal fédéral 2C_195/2016 du 26 septembre 2016 consid. 2.2.3). Pour pouvoir faire l'objet d'une procédure d'exécution forcée, elle doit être constatée par une décision rendue par l'autorité compétente selon le droit cantonal (soit à Genève le Président du Tribunal civil [art. 1 al. 1 RAJ]) au terme d'une procédure dans laquelle le bénéficiaire de l'assistance judiciaire aura eu la possibilité de faire valoir son droit d'être entendu (arrêt du Tribunal fédéral 2C_350/2017 du 7 décembre 2017 consid. 6.3; Colombini, in Petit Commentaire CPC, 2020, N 11 ad art. 123 CPC). Aux fins de permettre à l'autorité compétente d'examiner la réalisation de la condition suspensive de l'aptitude à rembourser, la personne bénéficiaire de l'assistance judiciaire est tenue de collaborer à la détermination de sa (nouvelle) situation financière en fournissant à ladite autorité, à sa demande, toutes les informations et pièces utiles, son obligation à cet égard ayant la même portée que dans la procédure d'octroi de l'assistance judiciaire (Huber, DIKE-Komm-ZPO, N 6 ad art. 123 CPC; Wuffli/Fuhrer, Handbuch unentgeltliche Rechtspflege im Zivilprozess, 2019, p. 369 n° 1061). En cas de violation de cette obligation de collaborer, l'autorité pourra sans arbitraire admettre que la situation financière du bénéficiaire s'est améliorée, et donc que la condition suspensive de l'aptitude à rembourser est réalisée (Colombini, op. cit., N 11 ad art. 123 CPC; Huber, op. cit., N 6 ad art. 123 CPC; Wuffli/Fuhrer, op. cit., p. 369 n° 1061; Bühler, in BK ZPO, Band I, N 39 ad art. 123 CPC).</w:t>
      </w:r>
    </w:p>
    <w:p>
      <w:r>
        <w:rPr>
          <w:b/>
        </w:rPr>
        <w:t>E. 3.2</w:t>
      </w:r>
    </w:p>
    <w:p>
      <w:r>
        <w:t>En l’espèce, l'autorité de première instance a invité la recourante, par courrier recommandé du 21 mars 2022, reçu par cette dernière le 30 mars 2022, à lui remettre toutes informations et pièces justificatives utiles concernant sa situation financière à cette date. Ce courrier avait un double objet : d'une part, il permettait à la recourante d'exercer son droit d'être entendu dans la procédure d'examen de la réalisation de la condition suspensive de l'aptitude à rembourser; d'autre part, il invitait la recourante à donner suite à l'obligation de collaboration qui lui incombait dans le cadre de cette procédure et attirait son attention sur les conséquences d'une violation de cette obligation, à savoir qu'il serait retenu que sa situation financière s'était améliorée. Il est établi que la recourante n'a pas donné suite à cette injonction en temps utile, qu'elle n'a pas sollicité la prolongation du délai qui lui avait été accordé par l'autorité de première instance pour ce faire et qu'elle n'a pas davantage requis auprès de ladite autorité la restitution de ce délai. La recourante n’allègue au demeurant aucun motif pour justifier son absence de réponse au courrier du 21 mars 2022. C'est donc à juste titre que l'autorité de première instance a considéré qu'elle avait refusé de collaborer et, par voie de conséquence, a retenu que sa situation financière s'était améliorée et qu'elle était en mesure de rembourser l'aide étatique. Aucune constatation manifestement inexacte des faits ou violation du droit n'étant ainsi établie, le recours doit être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