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AC/810/2024 vom 1. Juli 2024</w:t>
      </w:r>
    </w:p>
    <w:p>
      <w:r>
        <w:t>GE Cour de justice, 2024-07-01, FR</w:t>
      </w:r>
    </w:p>
    <w:p>
      <w:r>
        <w:rPr>
          <w:b/>
        </w:rPr>
        <w:t xml:space="preserve">Quelle: </w:t>
      </w:r>
      <w:r>
        <w:t>https://mcp.opencaselaw.ch/entscheid/ge_gerichte_AC_810_2024</w:t>
      </w:r>
    </w:p>
    <w:p>
      <w:r>
        <w:t>FR: GE_GERICHTE AC/810/2024 du 1 juillet 2024</w:t>
      </w:r>
    </w:p>
    <w:p>
      <w:r>
        <w:t>IT: GE_GERICHTE AC/810/2024 del 1 luglio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remet en cause la décision entreprise en tant qu'elle concerne le devoir d'entretien de son ex-épouse. Il reproche à l'autorité de première instance d'avoir considéré que l'action envisagée était exploratoire, faute d'éléments relatifs à la situation financière de son ex-épouse, alors qu'il est malaisé d'obtenir de tels renseignements et qu'il est nécessaire de demander au Tribunal de première instance d'ordonner la production de pièces à la partie adverse.</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Si la situation change notablement, le juge modifie ou supprime la contribution d'entretien à la demande du père, de la mère ou de l'enfant (art. 286 al. 2 CC par renvoi de l'art. 134 al. 2 CC). Dans ce cas, la modification de la contribution d'entretien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144 III 349 consid. 5.1; 137 III 604 consid. 4.1.1.; arrêts du Tribunal fédéral 5A_154/2019 du 1 er octobre 2019 consid. 4.1; 5A_400/2018 du 28 août 2018 consid. 3).</w:t>
      </w:r>
    </w:p>
    <w:p>
      <w:r>
        <w:rPr>
          <w:b/>
        </w:rPr>
        <w:t>E. 2.1.3</w:t>
      </w:r>
    </w:p>
    <w:p>
      <w:r>
        <w:t>Chaque partie devant, si la loi ne prescrit le contraire, prouver les faits qu'elle allègue pour en déduire son droit (art. 8 CC), l'époux qui se prévaut d'un changement de situation doit alléguer et rendre vraisemblable le changement essentiel et durable des circonstances et montrer que ces éléments justifient l'adaptation des mesures précédemment prononcées (arrêt du Tribunal fédéral 5A_787/2017 du 28 novembre 2017 consid. 5.1 et les réf. citées; ACJC/540/2021 du 30 avril 2021 consid. 3.1.6).</w:t>
      </w:r>
    </w:p>
    <w:p>
      <w:r>
        <w:rPr>
          <w:b/>
        </w:rPr>
        <w:t>E. 2.2</w:t>
      </w:r>
    </w:p>
    <w:p>
      <w:r>
        <w:t>En l'espèce, le recourant a allégué que son ex-épouse ne bénéficierait plus de l'aide sociale, étant relevé qu'il n'a pas indiqué d'où il tirerait cette information. Il en déduit que cette dernière - qui vivrait par ailleurs dorénavant en concubinage - aurait certainement repris une activité professionnelle. Il n'a toutefois fourni aucun élément tendant à rendre vraisemblable une telle hypothèse, alors que, comme l'a à raison considéré l'instance précédente, le fait que l'intéressée n'émargerait plus à l'aide sociale pourrait résulter du fait que son concubin disposerait de suffisamment de revenus pour le ménage qu'ils forment. Au vu de ce qui précède, la vice-présidence du Tribunal civil était ainsi fondée à retenir que, de prime abord, les chances de succès de l'action envisagée apparaissaient très faibles et à refuser l'assistance juridique au recourant pour ce motif.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 * * * * PAR CES MOTIFS, LA VICE-PRÉSIDENTE DE LA COUR : A la forme : Déclare recevable le recours formé le 15 juillet 2024 par A______ contre la décision rendue le 1 er juillet 2024 par la vice-présidence du Tribunal civil dans la cause AC/810/2024.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