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AC/753/2023 vom 12. April 2023</w:t>
      </w:r>
    </w:p>
    <w:p>
      <w:r>
        <w:t>GE Cour de justice, 2023-04-12, FR</w:t>
      </w:r>
    </w:p>
    <w:p>
      <w:r>
        <w:rPr>
          <w:b/>
        </w:rPr>
        <w:t xml:space="preserve">Quelle: </w:t>
      </w:r>
      <w:r>
        <w:t>https://mcp.opencaselaw.ch/entscheid/ge_gerichte_AC_753_2023</w:t>
      </w:r>
    </w:p>
    <w:p>
      <w:r>
        <w:t>FR: GE_GERICHTE AC/753/2023 du 12 avril 2023</w:t>
      </w:r>
    </w:p>
    <w:p>
      <w:r>
        <w:t>IT: GE_GERICHTE AC/753/2023 del 12 aprile 2023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4A_384/2015 du 24 septembre 2015 consid. 4 et les références citées). Compte tenu du caractère informel et simple de la procédure de conciliation et de l'admissibilité des requêtes très succinctes, la maxime inquisitoire sociale s'applique par analogie devant l'autorité paritaire de conciliation (Lachat, Procédure civile en matière de baux et loyers, 2019, p. 152). Selon l'art. 201 al. 2 CPC, les autorités paritaires de conciliation donnent des conseils juridiques aux parties, notamment dans les litiges relatifs aux baux à loyer d'habitations (par renvoi à l'art. 200 CPC). L'autorité de conciliation peut soumettre aux parties une proposition de jugement dans les litiges relatifs aux baux et loyers, en ce qui concerne la protection contre les congés ou la prolongation du bail à loyer (art. 210 al. 1 let. b CPC). La proposition de jugement est acceptée et déploie les effets d’une décision entrée en force lorsqu’aucune des parties ne s’y oppose dans un délai de 20 jours à compter du jour où elle a été communiquée par écrit aux parties; l’opposition ne doit pas être motivée (art. 211 al. 1 CPC)</w:t>
      </w:r>
    </w:p>
    <w:p>
      <w:r>
        <w:rPr>
          <w:b/>
        </w:rPr>
        <w:t>E. 3.2</w:t>
      </w:r>
    </w:p>
    <w:p>
      <w:r>
        <w:t>En l'espèce, dans la mesure où l'autorité de conciliation donne des conseils juridiques aux parties dans les litiges relatifs aux baux et loyers et que la procédure devant elle est soumise à la maxime inquisitoire, la nomination d'un avocat ne pourrait se justifier que dans des circonstances particulières. Le fait que la commission de conciliation en matière de baux et loyers puisse faire une proposition de jugement n'y change rien, dans la mesure où il suffirait au recourant, s'il ne l'approuve pas, d'y former opposition, laquelle ne suppose aucune motivation. Or, en l'occurrence, ni les faits motivant la requête ni les questions juridiques qui pourraient se poser n'apparaissent complexes. En particulier, le fait que la procédure mette en cause un colocataire qui n'habite pas dans les locaux et que l'action doive être également intentée à son encontre ne revêt pas une complexité suffisante pour que l'assistance d'un avocat soit nécessaire ( cf . DAAJ/28/2021 du 3 mars 2021, consid. 3.2). Il en va de même des investigations prétendues que susciterait l'état de fait – en particulier pour vérifier le bien-fondé du motif de résiliation invoqué par le bailleur – lesquelles n'ont pas à être entreprises au stade de la conciliation. Le recourant prétend que l'état de fait pertinent pour connaître de sa requête en exécution de travaux serait compliqué, car le sinistre dont résulterait la nécessité de travaux trouverait son origine dans les locaux voisins, occupés par la mission du Nigéria. La Cour peine néanmoins à percevoir en quoi cet élément compliquerait la cause, ce que le recourant n'explique pas. Il s'ensuit qu'avec l'aide de l'autorité de conciliation et/ou de juristes et autres membres des organismes sociaux, non-inscrits au barreau, notamment ceux spécialisés en droit du bail, la recourant est en mesure de défendre utilement son point-de-vue, peu importe à cet égard sa profession, son état de santé ou le fait qu'il ne dispose pas d'une formation académique. Le fait que le recourant soit allophone n'est pas non plus pertinent, dans la mesure où l'avocat n'a pas pour mission de palier les lacunes linguistiques du recourant, mais a pour rôle de le conseiller et de défendre juridiquement ses intérêts. Si le recourant n'est pas en mesure de s'exprimer en français devant la Commission de conciliation en matière de baux et loyers, il pourra solliciter la présence d'un interprète. C'est ainsi à bon droit que la Présidence du Tribunal civil a considéré que la situation ne présentait pas de difficultés particulières nécessitant l'assistance d'un avocat, à tout le moins à ce stade de la procédure. Par conséquent, la décision entreprise sera confirmée.</w:t>
      </w:r>
    </w:p>
    <w:p>
      <w:r>
        <w:rPr>
          <w:b/>
        </w:rPr>
        <w:t>E. 4</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par A______ contre la décision rendue le 12 avril 2023 par la présidence du Tribunal civil dans la cause AC/753/2023. Au fond : Le rejette. Déboute A______ de toutes autres conclusions. Dit qu'il n'est pas perçu de frais judiciaires pour le recours, ni alloué de dépens. Notifie une copie de la présente décision à A______ en l'Étude de Me D______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