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AC/735/2024 vom 26. April 2024</w:t>
      </w:r>
    </w:p>
    <w:p>
      <w:r>
        <w:t>GE Cour de justice, 2024-04-26, FR</w:t>
      </w:r>
    </w:p>
    <w:p>
      <w:r>
        <w:rPr>
          <w:b/>
        </w:rPr>
        <w:t xml:space="preserve">Quelle: </w:t>
      </w:r>
      <w:r>
        <w:t>https://mcp.opencaselaw.ch/entscheid/ge_gerichte_AC_735_2024</w:t>
      </w:r>
    </w:p>
    <w:p>
      <w:r>
        <w:t>FR: GE_GERICHTE AC/735/2024 du 26 avril 2024</w:t>
      </w:r>
    </w:p>
    <w:p>
      <w:r>
        <w:t>IT: GE_GERICHTE AC/735/2024 del 26 aprile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La recourante reproche au Tribunal d'avoir considéré que ses chances de succès étaient faibles s'agissant de l'action en nullité du congé.</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Est capable de discernement toute personne qui n'est pas dépourvue de la faculté d'agir raisonnablement à cause de son jeune âge, ou qui n'en est pas privée par suite de maladie mentale, de faiblesse d'esprit, d'ivresse ou d'autres causes semblables (art. 16 CC). Sous réserve des exceptions prévues par la loi, les actes de celui qui est incapable de discernement n'ont pas d'effet juridique (art. 18 CC). Ainsi, une résiliation de bail n'est valable que si l'expéditeur et le destinataire sont capables de discernement (Lachat, Le bail à loyer, Lausanne, 2019, p. 826, n. 1.8). La capacité de discernement est la règle; elle est présumée d'après l'expérience générale de la vie, de sorte qu'il incombe à celui qui prétend qu'elle fait défaut de le prouver ATF 134 II 235 consid. 4.3.3; 124 III 5 consid. 1b et les références citées). Conformément à la relativité du discernement, il faut prouver l'absence de capacité de discernement dans un cas concret (Werro/Schmidlin, Commentaire Romand, 2010 CC I, n. 12-15 et 18 ad art. 16 CC). Celui qui invoque l'inefficacité d'un acte pour cause d'incapacité de discernement doit ainsi prouver l'un des états de faiblesse décrits à l'art. 16 CC et l'altération de la capacité d'agir raisonnablement qui en est la conséquence (ATF 124 III 5 consid. 1b; 117 II 231 consid. 2b; arrêt du Tribunal fédéral 5A_951/2016 du 14 septembre 2017 consid. 3.1.2).</w:t>
      </w:r>
    </w:p>
    <w:p>
      <w:r>
        <w:rPr>
          <w:b/>
        </w:rPr>
        <w:t>E. 2.2</w:t>
      </w:r>
    </w:p>
    <w:p>
      <w:r>
        <w:t>En l'espèce, la vice-présidence du Tribunal civil a examiné sommairement, conformément aux principes applicables en la matière, les chances de succès de la demande en nullité du congé formée par la recourante. Dans cette mesure, elle ne s'est pas substituée au juge du fond et n'a pas violé le droit en procédant de la sorte. Si comme le plaide la recourante, il est dans l'expérience générale de la vie qu'une personne âgée de 94 ans puisse être affectée dans ses capacités cognitives, encore faut-il qu'elle puisse prouver que sa bailleresse était incapable de discernement au moment de la signature de la résiliation du bail. A cet égard, la recourante fait valoir qu'elle doit pouvoir apporter la preuve de l'incapacité de discernement de sa bailleresse, les indices présentés (âge, signature hésitante, préparation des documents par un tiers) étant suffisants à présumer une telle incapacité. La recourante indique qu'elle sollicitera, pour établir cette incapacité, l'audition de sa bailleresse par le Tribunal. Or, une telle audition, si elle devait aboutir au constat que cette personne est incapable de discernement au moment de son audition, ne permettrait encore pas de retenir qu'elle l'était plusieurs mois auparavant, lors de la signature de la résiliation. Par conséquent, c'est à juste titre que le premier juge a considéré que la recourante avait peu de chance de prouver que sa bailleresse était incapable de discernement lors de la signature de la résiliation du contrat de bail. Par conséquent, le recours sera rejeté.</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le 29 avril 2024 par A______ contre la décision rendue le 26 avril 2024 par la vice-présidence du Tribunal civil dans la cause AC/735/2024.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