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AC/724/2015 vom 7. Juni 2017</w:t>
      </w:r>
    </w:p>
    <w:p>
      <w:r>
        <w:t>GE Cour de justice, 2017-06-07, FR</w:t>
      </w:r>
    </w:p>
    <w:p>
      <w:r>
        <w:rPr>
          <w:b/>
        </w:rPr>
        <w:t xml:space="preserve">Quelle: </w:t>
      </w:r>
      <w:r>
        <w:t>https://mcp.opencaselaw.ch/entscheid/ge_gerichte_AC_724_2015</w:t>
      </w:r>
    </w:p>
    <w:p>
      <w:r>
        <w:t>FR: GE_GERICHTE AC/724/2015 du 7 juin 2017</w:t>
      </w:r>
    </w:p>
    <w:p>
      <w:r>
        <w:t>IT: GE_GERICHTE AC/724/2015 del 7 giugno 2017</w:t>
      </w:r>
    </w:p>
    <w:p>
      <w:pPr>
        <w:pStyle w:val="Heading2"/>
      </w:pPr>
      <w:r>
        <w:t>Regeste</w:t>
      </w:r>
    </w:p>
    <w:p>
      <w:r>
        <w:t>REMPLACEMENT ; AVOCAT</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w:t>
      </w:r>
    </w:p>
    <w:p>
      <w:r>
        <w:t>La recourante reproche au premier juge d’avoir considéré que les raisons pour lesquelles elle désirait changer d’avocat n’étaient pas objectives.</w:t>
      </w:r>
    </w:p>
    <w:p>
      <w:r>
        <w:rPr>
          <w:b/>
        </w:rPr>
        <w:t>E. 3.1</w:t>
      </w:r>
    </w:p>
    <w:p>
      <w:r>
        <w:t>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138 IV 161 consid. 2.4 ; 114 Ia 101 consid. 3).</w:t>
      </w:r>
    </w:p>
    <w:p>
      <w:r>
        <w:rPr>
          <w:b/>
        </w:rPr>
        <w:t>E. 3.2</w:t>
      </w:r>
    </w:p>
    <w:p>
      <w:r>
        <w:t>En l'espèce, c’est uniquement à la réception des décisions du mois de mars 2017 – qui n’allaient pas totalement dans le sens qu’elle souhaitait – que la recourante a considéré que les compétences de Me B______ ne répondait pas à ses attentes. Or, Me B______ n’est pas l’auteur des écritures ayant donné lieu à la décision portant sur la production de pièces, seul le premier conseil de la recourante étant intervenu à cet égard. Pour ce qui est de la décision portant sur l’élargissement du droit de visite, la recourante a eu gain de cause si ce n’est sur l’heure de la fin du droit de visite le dimanche qui est passée à 19h. On ne peut donc pas reprocher à Me B______ de ne pas avoir bien défendu les intérêts de la recourante. Par ailleurs, c’est également de manière professionnelle que Me B______ a informé la recourante de son appréciation sur ses chances d’obtenir gain de cause dans la procédure de divorce au regard de sa longue expérience en la matière. La recourante n’a pas rendu vraisemblable que son conseil n’aurait pas pris connaissance de son dossier, étant relevé qu’il est du devoir de son conseil d’en faire sa propre lecture objective. En outre, les demandes de prolongation de délais sollicitées par Me B______ étaient chaque fois justifiées par un événement objectif. La première demande ne portait d’ailleurs que sur quelques jours et la seconde a également été requise par la partie adverse. Elles n’ont en outre pas retardé la procédure de manière importante. Dès lors, la recourante échoue à rendre vraisemblable que ses intérêts auraient été mal défendus par l’avocat désigné d'office. Compte tenu des faits portés à sa connaissance, c'est à juste titre que l'Autorité de première instance a refusé le changement d'avocat sollicité au motif que les conditions posées par l'art. 14 RAJ n'étaient pas réalisées. Partant, le recours, infondé, sera rejeté.</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