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AC/719/2017 vom 18. April 2017</w:t>
      </w:r>
    </w:p>
    <w:p>
      <w:r>
        <w:t>GE Cour de justice, 2017-04-18, FR</w:t>
      </w:r>
    </w:p>
    <w:p>
      <w:r>
        <w:rPr>
          <w:b/>
        </w:rPr>
        <w:t xml:space="preserve">Quelle: </w:t>
      </w:r>
      <w:r>
        <w:t>https://mcp.opencaselaw.ch/entscheid/ge_gerichte_AC_719_2017</w:t>
      </w:r>
    </w:p>
    <w:p>
      <w:r>
        <w:t>FR: GE_GERICHTE AC/719/2017 du 18 avril 2017</w:t>
      </w:r>
    </w:p>
    <w:p>
      <w:r>
        <w:t>IT: GE_GERICHTE AC/719/2017 del 18 aprile 2017</w:t>
      </w:r>
    </w:p>
    <w:p>
      <w:pPr>
        <w:pStyle w:val="Heading2"/>
      </w:pPr>
      <w:r>
        <w:t>Regeste</w:t>
      </w:r>
    </w:p>
    <w:p>
      <w:r>
        <w:t>REQUÊTE DE RADIATION ; CHANCES DE SUCCÈS</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pièces nouvellement produites par le recourant et les allégués de faits dont il n'a pas fait état en première instance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in JdT 2006 IV p. 47).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La radiation au sens propre d'une société inscrite dans le registre du commerce – à savoir l'acte contraire de l'immatriculation, par lequel l'office du registre du commerce prononce qu'une entité n'est plus inscrite – peut intervenir sur réquisition des anciens titulaires ou de leurs héritiers lorsque l'industrie cesse d'exister ou est cédée à un tiers (art. 938 CO) ou d'office par l'office du registre du commerce ou le tribunal lorsque l'entité juridique n'exerce plus d'activités et n'a plus d'actifs réalisables (art. 938a CO). Lorsqu'elle intervient sur réquisition, la radiation est opérée au terme de la liquidation, qui suit la dissolution (Vianin, in Commentaire romand, Tercier/Amstutz [éd.], 2008, n. 7 ad art. 938-938a CO). Lorsqu'elle intervient d'office, la radiation peut être opérée sans qu'il soit nécessaire que l'entité juridique se trouve déjà au stade de la liquidation. La radiation ne pourra toutefois intervenir, en règle générale, qu'en présence d'un acte de défaut de biens, d'un extrait de poursuite ou d'un autre certificat de l'autorité (par exemple de l'autorité fiscale) confirmant l'absence d'actifs. Une simple communication du conseil d'administration se basant sur l'absence d'activité et d'actifs n'est pas suffisante, puisque cela reviendrait à éluder les dispositions relatives à la liquidation de la société (appel aux créanciers et réquisition en radiation) (Gwelessiani/Schindler, Commentaire pratique de l'Ordonnance sur le registre du commerce, 2014, n. 541, 543 et 544). Le but de l'art. 938a al. 1 CO est d'éviter que des sociétés qui n'exercent plus d'activités et qui ont été liquidées de fait ne restent inscrites au Registre du commerce. La radiation d'office présuppose toujours de manière cumulative, que la société n'exerce plus d'activités, qu'elle n'ait - selon ce qui ressort des circonstances - plus d'actifs réalisables et qu'une triple sommation publique soit demeurée sans résultat (Message du Conseil fédéral concernant la révision du code des obligations du 19 décembre 2001, FF 2002 p. 3035). L'art. 155 ORC prévoit une procédure en trois phases: sommation de requérir la radiation, (triple) sommation publique de s'opposer à la radiation, puis radiation d'office (Vianin, op. cit., n. 14 ad art. 938-938a CO).</w:t>
      </w:r>
    </w:p>
    <w:p>
      <w:r>
        <w:rPr>
          <w:b/>
        </w:rPr>
        <w:t>E. 3.3</w:t>
      </w:r>
    </w:p>
    <w:p>
      <w:r>
        <w:t>En l'espèce, la Vice-présidente du Tribunal civil a considéré que la cause du recourant était dépourvue de toute chance de succès, dès lors que ce dernier entendait requérir directement la radiation d'une société qui n'avait pas encore été dissoute ni liquidée. Ce raisonnement ne saurait être suivi. En effet, la radiation immédiate (sans liquidation) d'une entité juridique est bel et bien possible à certaines conditions, à savoir lorsque la société n'exerce plus d'activités, qu'elle n'a plus d'actifs réalisables et que la procédure en trois phases édictée à l'art. 155 ORC est suivie. Partant, l'Autorité de première instance ne pouvait pas considérer que la cause était dépourvue de chances de succès du seul fait que le recourant n'avait pas préalablement requis la dissolution et la liquidation de la société. En tout état de cause, il n'est pas certain, contrairement à ce qu'a retenu l'Autorité de première instance, que la volonté clairement identifiable du recourant était d'obtenir la radiation directe de la société et non sa dissolution (suivie de sa liquidation et de sa radiation), action qui n'apparaît également pas, a priori, dénuée de chances de succès. Il résulte des considérations qui précèdent que le recours doit être admis, la décision querellée annulée et la cause renvoyée à la Vice-présidente du Tribunal civil pour instruction complémentaire sur la condition d'indigence ainsi que sur la nécessité de l'assistance par un professionnel, puis nouvelle décision.</w:t>
      </w:r>
    </w:p>
    <w:p>
      <w:r>
        <w:rPr>
          <w:b/>
        </w:rPr>
        <w:t>E. 4</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