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AC/714/2023 vom 17. Dezember 2024</w:t>
      </w:r>
    </w:p>
    <w:p>
      <w:r>
        <w:t>GE Cour de justice, 2024-12-17, FR</w:t>
      </w:r>
    </w:p>
    <w:p>
      <w:r>
        <w:rPr>
          <w:b/>
        </w:rPr>
        <w:t xml:space="preserve">Quelle: </w:t>
      </w:r>
      <w:r>
        <w:t>https://mcp.opencaselaw.ch/entscheid/ge_gerichte_AC_714_2023</w:t>
      </w:r>
    </w:p>
    <w:p>
      <w:r>
        <w:t>FR: GE_GERICHTE AC/714/2023 du 17 décembre 2024</w:t>
      </w:r>
    </w:p>
    <w:p>
      <w:r>
        <w:t>IT: GE_GERICHTE AC/714/2023 del 17 dicembre 2024</w:t>
      </w:r>
    </w:p>
    <w:p>
      <w:pPr>
        <w:pStyle w:val="Heading2"/>
      </w:pPr>
      <w:r>
        <w:t>Erwägungen</w:t>
      </w:r>
    </w:p>
    <w:p>
      <w:r>
        <w:rPr>
          <w:b/>
        </w:rPr>
        <w:t>E. 1.1</w:t>
      </w:r>
    </w:p>
    <w:p>
      <w:r>
        <w:t>La décision entreprise est sujette à recours auprès de la présidence de la Cour de justice en tant qu'elle refuse l'assistance juridique (art. 121 CPC et art. 21 al. 3 LaCC),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 le fait qu'il ait été expédié par erreur au greffe de l'Assistance juridique ne constituant qu'un vice de forme mineur.</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Aux termes de l'art. 326 al. 1 CPC, les allégations de faits et les preuves nouvelles sont irrecevables dans le cadre d'un recours. Par conséquent, les allégués de faits dont la recourante n'a pas fait état en première instance ne seront pas pris en considération.</w:t>
      </w:r>
    </w:p>
    <w:p>
      <w:r>
        <w:rPr>
          <w:b/>
        </w:rPr>
        <w:t>E. 3.1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 8 octobre 2015 consid. 4.1).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w:t>
      </w:r>
    </w:p>
    <w:p>
      <w:r>
        <w:rPr>
          <w:b/>
        </w:rPr>
        <w:t>E. 3.2.1</w:t>
      </w:r>
    </w:p>
    <w:p>
      <w:r>
        <w:t>D'après l'art. 260 al. 1 CC, lorsque le rapport de filiation existe seulement avec la mère, le père peut reconnaître l'enfant. Selon l'art. 260a al. 1 CC , la reconnaissance peut être attaquée en justice par tout intéressé, en particulier par la mère ou par l’enfant. L’enfant capable de discernement peut agir lui-même, en raison de la nature strictement personnelle du droit en cause. Lorsque l’enfant est incapable de discernement, l’Autorité de protection de l’enfant doit examiner l’opportunité de contester la reconnaissance et, le cas échéant, nommer un curateur chargé de représenter l’enfant dans l’action en contestation de la reconnaissance, en raison du conflit d’intérêts potentiel entre l’enfant et son représentant légal (art. 308 al. 2 CC; GUILLOD, CR CC I, n. 5 ad art. 260a CC). Dans cette mesure, l'Autorité de protection de l'enfant doit, dans un premier temps, examiner s'il existe des indices permettant de sérieusement douter de la paternité du père légalement inscrit et, dans l'affirmative, procéder à une pesée des intérêts (ATF 121 III 1, consid. 2c; arrêts du Tribunal fédéral 5A_939/2013 du 5 mars 2014 consid. 2.1; 5A_593/2011 du 10 février 2012 consid. 3.1.1). L'autorité appelée à nommer un curateur à l'enfant doit ainsi déterminer si l'ouverture d'une action en contestation de la reconnaissance est ou non conforme à l'intérêt de celui-ci, en comparant sa situation avec ou sans la reconnaissance. Elle doit tenir compte des conséquences d'ordre tant psycho-social que matériel, par exemple la perte du droit à l'entretien et des expectatives successorales. Il ne sera ainsi pas dans l'intérêt de l'enfant d'introduire une telle action lorsqu'il est incertain que le mineur puisse avoir un autre père légal, lorsque la contribution d'entretien serait notablement moindre, lorsque la relation étroite entre l'enfant et ses frères et sœurs serait sérieusement perturbée et lorsqu'il n'y a pas lieu d'admettre que l'enfant serait en mesure d'entretenir une relation positive sur le plan socio-psychique avec son géniteur (arrêt du Tribunal fédéral 5A_939/2013 du 5 mars 2014 consid. 2.1). La paternité ne doit pas pouvoir être contestée à la légère. Le lien génétique n'est pas la seule justification du lien de filiation. Comme la parentalité n'est pas seulement génétique, mais aussi socio-psychologique, il peut être justifié de maintenir un lien de filiation, même s'il est établi que le père légal n'est pas le père biologique. Tel peut être le cas lorsque l'enfant ne sera ultérieurement pas reconnu et restera sans père juridique (arrêt du Tribunal fédéral 5A_178/2022 du 4 juillet 2023 consid. 3.3.4).</w:t>
      </w:r>
    </w:p>
    <w:p>
      <w:r>
        <w:rPr>
          <w:b/>
        </w:rPr>
        <w:t>E. 3.2.2</w:t>
      </w:r>
    </w:p>
    <w:p>
      <w:r>
        <w:t>Aux termes de l'art. 446 CC, l'Autorité de protection de l'adulte et de l'enfant (cf. art. 314 al.1 CC) établit les faits d'office (al. 1); elle procède à la recherche et à l'administration des preuves nécessaires; elle peut charger une tierce personne ou un service d'effectuer une enquête; si nécessaire, elle ordonne une expertise (al. 2); elle n'est pas liée par les conclusions des personnes parties à la procédure (al. 3). L’Autorité de protection décide selon sa conviction quels faits doivent encore être établis et quels sont les moyens de preuves pertinents pour démontrer ces faits (CHABLOZ/COPT, CR CC I, n. 7 ad art. 446 CC). En vertu de l'art. 448 al. 1 CC, les personnes parties à la procédure et les tiers sont tenus de collaborer à l’établissement des faits. L’autorité de protection prend les mesures nécessaires pour sauvegarder les intérêts dignes de protection. En cas de nécessité, elle ordonne que l’obligation de collaborer soit accomplie sous la contrainte. Les normes du Code civil sont destinées à favoriser la recherche de la vérité biologique et non simplement à créer un lien juridique. Les mesures de contrainte représentent, dans certaines circonstances, la seule option qui permette de faire respecter le droit constitutionnel à connaître son ascendance (art. 119 al.2 let. g Cst.), également reconnu par le droit international, mais aussi et surtout de connaître la véritable ascendance d'un enfant : "une présomption légale de paternité ne [peut] l'emporter sur une réalité biologique et sociale lors qu'elle [est] contraire à la réalité des faits et ne bénéficie à personne" (MEIRER, L'enfant en droit suisse: quelques apports de la jurisprudence récente de la Cour européenne des droits de l'homme, in FamPra.ch 2012, 269; DUMOULIN, Actes médicaux et contrainte – quand le droit fédéral impose un acte médical, 2023, p. 75-76). Certains auteurs retiennent que ce droit présente un caractère absolu, qui ne peut souffrir aucune restriction (BÜCHLER/RYSER, Das Recht des Kindes auf Kenntnis seiner Abstammung, in FamPra.ch 2009, p. 19; DE VRIES REILINGH, Le droit fondamental de l’enfant à connaître son ascendance, in PJA/AJP 2003, p. 363 ss). Ainsi, les expertises nécessaires à établir la filiation – un prélèvement anodin de matériel génétique dans la bouche puis son analyse – peuvent être imposées aux parties et aux tiers, le droit de ne pas collaborer n’étant pas applicable à ce genre de procédure. En cas de nécessité, le recours à la contrainte est possible, conformément à l’art. 448 al. 1 CC. Cette mesure étant la seule efficace pour garantir à la fois une administration efficace de la justice civile et la réalisation du droit à connaître son ascendance, ces modalités apparaissent appropriées, pour un acte médical isolé correspondant à une atteinte légère à l’intégrité corporelle (DUMOULIN, op.cit. p. 86).</w:t>
      </w:r>
    </w:p>
    <w:p>
      <w:r>
        <w:rPr>
          <w:b/>
        </w:rPr>
        <w:t>E. 3.3</w:t>
      </w:r>
    </w:p>
    <w:p>
      <w:r>
        <w:t>En l'espèce, selon l'appréciation du TPAE, il était dans l'intérêt de l'enfant que sa situation juridique corresponde à la réalité des faits, au vu des éléments apportés par la mère. Cela étant, il ne faut pas perdre de vue que, suivant le résultat du test génétique, la suppression du lien de filiation entre l'enfant et C______ aboutirait possiblement à priver l'enfant de père juridique, faute de pouvoir, selon toute vraisemblance, établir l'identité du père biologique. Or, la jurisprudence retient que l'on ne peut, par principe, accorder un poids plus grand à la vérité biologique qu'à l'intérêt de l'enfant à conserver une filiation juridique (arrêt du Tribunal fédéral 5A_178/2022 du 4 juillet 2023 consid. 3.3.4). Compte tenu de ce qui précède et du large pouvoir d'appréciation conféré à la juridiction de recours pour déterminer l'intérêt de l'enfant dans une telle situation, le recours formé par la recourante ne semble, à première vue, pas dépourvu de toute chance de succès, contrairement à ce qu'a retenu la vice-présidente du Tribunal civil. Par ailleurs, la condition d'indigence paraît remplie, dès lors que l'aide étatique a été octroyée à la recourante en dernier lieu le 22 novembre 2024 et qu'il semble peu probable que sa situation financière se soit améliorée dans l'intervalle. La décision querellée sera donc annulée et la recourante mise au bénéfice de l'assistance juridique pour la procédure de recours contre l'ordonnance du TPAE du 11 novembre 2024, avec effet au 5 décembre 2024, date de sa requête d'extension. Me D______, avocate, sera désignée pour défendre les intérêts de la recourante. Cet octroi sera limité à 5h00 d'activité d'avocate, audiences et forfait courriers/téléphones en sus.</w:t>
      </w:r>
    </w:p>
    <w:p>
      <w:r>
        <w:rPr>
          <w:b/>
        </w:rPr>
        <w:t>E. 4</w:t>
      </w:r>
    </w:p>
    <w:p>
      <w:r>
        <w:t>Sauf exceptions non réalisées en l'espèce, il n'est pas perçu de frais judiciaires pour la procédure d'assistance juridique (art. 119 al. 6 CPC). * * * * * PAR CES MOTIFS, LA VICE-PRÉSIDENTE DE LA COUR : A la forme : Déclare recevable le recours formé par A______ contre la décision rendue le 17 décembre 2024 par la vice-présidence du Tribunal civil dans la cause AC/714/2023. Au fond : Annule la décision entreprise et cela fait, statuant à nouveau : Met A______ au bénéfice de l'assistance juridique pour la procédure de recours contre l'ordonnance DTAE/8664/2024 du TPAE du 11 novembre 2024, avec effet au 5 décembre 2024. Nomme Me D______, avocate, à cette fin. Limite cet octroi à 5h00 d'activité d'avocate, audiences et forfait courriers/téléphones en sus. Dit qu'il n'est pas perçu de frais judiciaires pour le recours. Notifie une copie de la présente décision à A______ en l'Etude de Me D______ (art. 137 CPC). Siégeant : Madame Verena PEDRAZZINI RIZZI, vice-présidente; Madame Maïté VALENTE, greffière.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