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AC/711/2024 vom 14. Juni 2024</w:t>
      </w:r>
    </w:p>
    <w:p>
      <w:r>
        <w:t>GE Cour de justice, 2024-06-14, FR</w:t>
      </w:r>
    </w:p>
    <w:p>
      <w:r>
        <w:rPr>
          <w:b/>
        </w:rPr>
        <w:t xml:space="preserve">Quelle: </w:t>
      </w:r>
      <w:r>
        <w:t>https://mcp.opencaselaw.ch/entscheid/ge_gerichte_AC_711_2024</w:t>
      </w:r>
    </w:p>
    <w:p>
      <w:r>
        <w:t>FR: GE_GERICHTE AC/711/2024 du 14 juin 2024</w:t>
      </w:r>
    </w:p>
    <w:p>
      <w:r>
        <w:t>IT: GE_GERICHTE AC/711/2024 del 14 giugno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w:t>
      </w:r>
    </w:p>
    <w:p>
      <w:r>
        <w:rPr>
          <w:b/>
        </w:rPr>
        <w:t>E. 3.1.1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(arrêts du Tribunal fédéral 5A_261/2023 du 28 septembre 2023 consid. 3.1; 5A_405/2023 du 17 août 2023 consid. 3.2.2).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Le fait d'obtenir un jugement condamnatoire contre une personne, sans espoir d'obtenir le recouvrement de la créance de ce débiteur, n'est pas une démarche judiciaire raisonnable ( DAAJ/122/2023 du 15 novembre 2023 consid. 2.2). Aussi, l'examen des chances de succès porte également sur l'évaluation des perspectives de recouvrement de la créance ( DAAJ/83/2022 du 26 septembre 2022 consid. 3.2). A titre d'exemple, il a notamment été retenu que le fait d'agir à l'encontre d'une personne sans titre de séjour qui se trouvait vraisemblablement en prison n'était pas une démarche judiciaire raisonnable, puisqu'il y avait peu d'espoir d'obtenir le recouvrement d'une éventuelle créance résultant d'un jugement condamnatoire prononcé contre cette personne, qui était vraisemblablement sans ressources financières. Dans cette affaire, la personne contre laquelle une action en paiement était envisagée avait été condamnée à une peine privative de liberté et son expulsion du territoire suisse avait été prononcée pour une durée de cinq ans par les autorités pénales ( DAAJ/122/2023 ). Par ailleurs, le bénéfice de l'aide étatique a été refusé à une justiciable qui souhaitait recourir contre le montant de l'indemnité équitable (art. 124e al. 1 CC) qui lui avait été allouée dans le cadre du divorce, au motif que le recouvrement de la créance en paiement de l'indemnité se heurterait à l'endettement important de l'ex-époux, compte tenu des actes de défaut de biens qui lui avaient déjà été délivrés, à hauteur de 67'000 fr., augmentés de 22'000 fr. d'impôts impayés ( DAAJ/24/2024 ). En revanche, l'assistance juridique a été accordée pour le recouvrement d'une créance de quelques 8'000 fr. à l'encontre d'un débiteur a priori insolvable (un extrait du registre des poursuites de la partie adverse du requérant faisait état de poursuites – en sus de celles requises par la personne demandant l'aide étatique – totalisant 791 fr. 65 et des actes de défaut de biens pour 881 fr. 20), même si les possibilités de recouvrement de la somme en jeu paraissaient limitées ( DAAJ/83/2022 ).</w:t>
      </w:r>
    </w:p>
    <w:p>
      <w:r>
        <w:rPr>
          <w:b/>
        </w:rPr>
        <w:t>E. 3.2</w:t>
      </w:r>
    </w:p>
    <w:p>
      <w:r>
        <w:t>En l'espèce, les éléments figurant au dossier ne permettent pas d'examiner si la décision de l'autorité de première instance est fondée. En effet, aucun extrait du Registre des poursuites n'a été fourni, de sorte que la situation financière de D______ ne peut pas être examinée. La seule circonstance que le recourant ait mentionné qu'il détenait un acte de défaut de biens à son encontre, pour un montant indéterminé, ne suffit pas pour statuer sur les chances de recouvrement d'une éventuelle créance contre la précitée. Au demeurant, il résulte de la jurisprudence du Tribunal fédéral qu'un extrait du registre des poursuites ne renseigne que sur les dettes et non sur les revenus (arrêt du Tribunal fédéral 5D_114/2012 du 4 octobre 2012 consid. 2.3.2), et que l'existence d'actes de défaut de biens après saisie ne signifie pas pour autant qu'un débiteur est dans le besoin (arrêt du Tribunal fédéral 5A_181/2019 du 27 mai 2019 consid. 3.4). Dans la mesure où aucun élément concret ne permet de retenir qu'un justiciable raisonnable renoncerait à entreprendre des démarches à l'encontre de la précitée s'il devait les financer de ses propres deniers, la décision entreprise sera annulée et la cause renvoyée à l'autorité de première instance pour instruction complémentaire et nouvelle décision sur la question des chances de succès. Le recourant devra également être invité à indiquer l'état de ses discussions amiables avec sa partie adverse, puisqu'il avait précédemment annoncé que celles-ci étaient "à bout touchant".</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 PAR CES MOTIFS, LA VICE-PRÉSIDENTE DE LA COUR : A la forme : Déclare recevable le recours formé le 1 er juillet 2024 par A______ contre la décision rendue le 14 juin 2024 par la vice-présidence du Tribunal civil dans la cause AC/711/2024. Au fond : Annule la décision entreprise et cela fait: Renvoie la cause à la vice-présidence du Tribunal civil pour instruction complémentaire et nouvelle décision au sens des considérants.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