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AC/707/2014 vom 17. März 2014</w:t>
      </w:r>
    </w:p>
    <w:p>
      <w:r>
        <w:t>GE Cour de justice, 2014-03-17, FR</w:t>
      </w:r>
    </w:p>
    <w:p>
      <w:r>
        <w:rPr>
          <w:b/>
        </w:rPr>
        <w:t xml:space="preserve">Quelle: </w:t>
      </w:r>
      <w:r>
        <w:t>https://mcp.opencaselaw.ch/entscheid/ge_gerichte_AC_707_2014</w:t>
      </w:r>
    </w:p>
    <w:p>
      <w:r>
        <w:t>FR: GE_GERICHTE AC/707/2014 du 17 mars 2014</w:t>
      </w:r>
    </w:p>
    <w:p>
      <w:r>
        <w:t>IT: GE_GERICHTE AC/707/2014 del 17 marzo 2014</w:t>
      </w:r>
    </w:p>
    <w:p>
      <w:pPr>
        <w:pStyle w:val="Heading2"/>
      </w:pPr>
      <w:r>
        <w:t>Regeste</w:t>
      </w:r>
    </w:p>
    <w:p>
      <w:r>
        <w:t>DÉNUEMENT | CPC.117.A</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2.1. 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 7 al. 2 RAJ). Il appartient au justiciable sollicitant l'aide de l'État d'adapter son train de vie aux moyens financiers dont il dispose en donnant priorité aux dépenses relevant du strict minimum vital (arrêts du Tribunal fédéral 5D_101/2007 du 7 janvier 2008 consid. 3.3 ; 5P.295/2006 du 24 octobre 2006 consid. 3.4). Dans tous les cas, seules les charges réellement acquittées sont susceptibles d'entrer dans le calcul du minimum vital. Les dettes anciennes, pour lesquelles le débiteur ne verse plus rien, n'entrent pas en ligne de compte (ATF 135 I 221 consid. 5.1). La part des ressources excédant ce qui est nécessaire à la satisfaction des besoins personnels doit être comparée aux frais prévisibles de la procédure pour laquelle l'assistance judiciaire est requise. Celle-ci n'est pas accordée lorsque le solde disponible permet d'amortir les frais judiciaires et d'avocat en une année au plus, pour les procès relativement simples, et en deux ans pour les autres (ATF 135 I 221 consid. 5.1 ; arrêt du Tribunal fédéral 5A_810/2011 du 7 février 2012 consid. 2.3).</w:t>
      </w:r>
    </w:p>
    <w:p>
      <w:r>
        <w:rPr>
          <w:b/>
        </w:rPr>
        <w:t>E. 2.2</w:t>
      </w:r>
    </w:p>
    <w:p>
      <w:r>
        <w:t>En l'espèce, le recourant fait état de dettes d'un montant d'environ 20'000 fr. Seules les charges effectivement acquittées sont prises en considération. Ainsi, indépendamment de la question de savoir si la dette alléguée vise un bien ou un service de stricte nécessité, il ne sera en tout état pas tenu compte de celle-ci, dans la mesure où le recourant n'a produit aucune pièce attestant qu'il s'acquitte régulièrement de son remboursement. Il ressort ainsi des pièces produites devant le premier juge que les revenus mensuels nets du ménage du recourant se composent de sa rente AI (745 fr.) et de prestations sociales (2'847 fr.), soit un montant total de 3'592 fr. par mois. Ses charges mensuelles comprennent l'entretien de base majoré de 20% (1'200 fr. + 240 fr.), des impôts (2 fr. 10), des cotisations AVS (41 fr. 10), étant précisé que sa prime d'assurance-maladie et ses frais de transport sont pris en charge par la collectivité. Il allègue supporter un loyer de 1'165 fr., pour lequel il n'a produit aucune pièce et dont il n'est pas établi qu'il s'acquitte. Il apparaît qu'en tenant compte de cette dernière charge pourtant non prouvée, le disponible mensuel du ménage du recourant dépasse encore de 943 fr. 80 le minimum vital élargi et de 1'183 fr. 80 le minimum vital strict. Au vu des faits portés à la connaissance du premier juge, celui-ci n'a ni violé le droit ni constaté les faits de manière manifestement inexacte. Il sera relevé, à titre superfétatoire, que le recourant n'a fourni aucune indication sur la nécessité d'intenter simultanément les deux procédures litigieuses. Partant, le recours, infondé, sera rejeté.</w:t>
      </w:r>
    </w:p>
    <w:p>
      <w:r>
        <w:rPr>
          <w:b/>
        </w:rPr>
        <w:t>E. 3</w:t>
      </w:r>
    </w:p>
    <w:p>
      <w:r>
        <w:t>Sauf exceptions non réalisées en l'espèce, il n'est pas perçu de frais judiciaires pour la procédure d'assistance juridique (art. 119 al. 6 CPC).![endif]&gt;![if&gt; * * * * * PAR CES MOTIFS, LA VICE-PRÉSIDENTE DE LA COUR : À la forme : Déclare recevable le recours formé par A______ contre la décision rendue le 17 mars 2014 par le Vice-président du Tribunal civil dans la cause AC/707/2014. Au fond : Le rejette. Déboute A______ de toutes autres conclusions. Dit qu'il n'est pas perçu de frais judiciaires pour le recours. Notifie une copie de la présente décision à A______ en l'Étude de M e Julien WAEBER (art. 137 CPC). Siégeant : Madame Marguerite JACOT-DES-COMBES, vice-présidente ; Monsieur Jacques GUERTLER, greffier.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