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AC/703/2022 vom 23. März 2022</w:t>
      </w:r>
    </w:p>
    <w:p>
      <w:r>
        <w:t>GE Cour de justice, 2022-03-23, FR</w:t>
      </w:r>
    </w:p>
    <w:p>
      <w:r>
        <w:rPr>
          <w:b/>
        </w:rPr>
        <w:t xml:space="preserve">Quelle: </w:t>
      </w:r>
      <w:r>
        <w:t>https://mcp.opencaselaw.ch/entscheid/ge_gerichte_AC_703_2022</w:t>
      </w:r>
    </w:p>
    <w:p>
      <w:r>
        <w:t>FR: GE_GERICHTE AC/703/2022 du 23 mars 2022</w:t>
      </w:r>
    </w:p>
    <w:p>
      <w:r>
        <w:t>IT: GE_GERICHTE AC/703/2022 del 23 marzo 2022</w:t>
      </w:r>
    </w:p>
    <w:p>
      <w:pPr>
        <w:pStyle w:val="Heading2"/>
      </w:pPr>
      <w:r>
        <w:t>Erwägungen</w:t>
      </w:r>
    </w:p>
    <w:p>
      <w:r>
        <w:rPr>
          <w:b/>
        </w:rPr>
        <w:t>E. 2</w:t>
      </w:r>
    </w:p>
    <w:p>
      <w:r>
        <w:t>à 17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L'assistance juridique ne s'étend pas aux activités relevant de l'assistance sociale ou dont d'autres organismes subventionnés directement ou indirectement peuvent se charger à moindre frais (art. 3 al. 3 RAJ applicable par renvoi de l'art. 65 LOJ).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4A_48/2021 du 21 juin 2021 consid. 3.2; 5D_83/2020 du 28 octobre 2020 consid. 5.3.3; 4D_22/2020 du 29 juin 2020 consid. 4.2.2).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4A_48/2021 du 21 juin 2021 consid. 3.2; 4A_100/2021 du 10 mai 2021 consid. 3.2; 4A_622/2020 du 5 février 2021 consid. 2.4).</w:t>
      </w:r>
    </w:p>
    <w:p>
      <w:r>
        <w:rPr>
          <w:b/>
        </w:rPr>
        <w:t>E. 3.3</w:t>
      </w:r>
    </w:p>
    <w:p>
      <w:r>
        <w:t>Le 1 er janvier 2019, est entrée en vigueur une modification de la loi fédérale sur les étrangers du 16 décembre 2005 (LEtr), devenue la loi fédérale sur les étrangers et l'intégration du 16 décembre 2005 (LEI - RS 142.20). Selon l'art. 126 al. 1 LEI, les demandes déposées avant l'entrée en vigueur de ladite loi sont régies par l'ancien droit. En l'occurrence, la demande ayant été formée le 17 août 2021, la cause est régie par la LEI dans sa teneur à compter du 1 er janvier 2019.</w:t>
      </w:r>
    </w:p>
    <w:p>
      <w:r>
        <w:rPr>
          <w:b/>
        </w:rPr>
        <w:t>E. 3.4</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octobre 2013, état au 1 er janvier 2021, ch. 5.6.12).</w:t>
      </w:r>
    </w:p>
    <w:p>
      <w:r>
        <w:rPr>
          <w:b/>
        </w:rPr>
        <w:t>E. 3.5</w:t>
      </w:r>
    </w:p>
    <w:p>
      <w:r>
        <w:t>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136 II 177 consid. 1.2; arrêts du Tribunal fédéral 2C_1083/2016 du 24 avril 2017 consid. 1.1). Les relations ici visées concernent en premier lieu la famille dite nucléaire, c'est-à-dire la communauté formée par les parents et leurs enfants mineurs (ATF 140 I 77 consid. 5.2; 137 I 113 consid. 6.1; 135 I 143 consid. 1.3.2; arrêt du Tribunal fédéral 2C_584/2017 du 29 juin 2017 consid. 3).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arrêt du Tribunal fédéral 6B_255/2020 du 6 mai 2020 consid. 1.2.2).</w:t>
      </w:r>
    </w:p>
    <w:p>
      <w:r>
        <w:rPr>
          <w:b/>
        </w:rPr>
        <w:t>E. 3.6</w:t>
      </w:r>
    </w:p>
    <w:p>
      <w:r>
        <w:t>Selon l’art. 3 CDE,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 L'art. 27 al. 1 CDE précise encore que les États parties reconnaissent le droit de tout enfant à un niveau de vie suffisant pour permettre son développement physique, mental, spirituel, moral et social. Les dispositions de la CDE ne posent que des principes dont les autorités législatives, exécutives et judiciaires des États parties doivent s'inspirer. Ces dispositions ne font d'ailleurs pas de l'intérêt de l'enfant un critère exclusif, mais un élément d'appréciation dont l'autorité doit tenir compte lorsqu'il s'agit de mettre en balance les différents intérêts en présence (ATF 139 I 315 consid. 2.4; arrêt du Tribunal fédéral 8C_927/2011 du 9 janvier 2013 consid. 5.2).</w:t>
      </w:r>
    </w:p>
    <w:p>
      <w:r>
        <w:rPr>
          <w:b/>
        </w:rPr>
        <w:t>E. 3.7</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L’art. 69 al. 4 LEI prévoit qu’avant de procéder au renvoi ou à l’expulsion d’un étranger mineur non accompagné, l'autorité compétente s'assure qu'il sera remis à un membre de sa famille, à un tuteur ou à une structure d'accueil pouvant garantir sa protection dans le pays concerné. A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3.8</w:t>
      </w:r>
    </w:p>
    <w:p>
      <w:r>
        <w:t>En l'espèce, la situation doit être appréciée au moment du dépôt de la requête d'assistance juridique. A la lumière des éléments en mains de l'Autorité de première instance, les conclusions auxquelles elle a abouti ne peuvent qu’être confirmées. En effet, selon un examen prima facie , le recourant n’apparaît pas remplir les conditions permettant d’admettre un cas individuel d’extrême gravité ou une admission provisoire. La décision querellée retient notamment que le recourant n’a pas expliqué en quoi son droit d’être entendu avait été violé, relevant que ce dernier avait notamment été entendu par l’OCPM en date du 6 juillet 2021. Elle considère également que nonobstant le grief du recourant relatif à la violation du principe de l’intérêt supérieur de l’enfant, le rapport que l’OCPM avait sollicité auprès du SEM indiquait que la situation des parents du recourant ne les empêchait pas d'accueillir leur fils chez eux et que, dans tous les cas, le Ministère des affaires sociales tunisien pouvait prendre le recourant en charge, de sorte que le renvoi de celui-ci dans son pays d’origine pouvait raisonnablement être exigé. Le recourant n’avait par ailleurs pas expliqué quels étaient ses problèmes de santé ni les raisons pour lesquels ils empêchaient son renvoi. Le recourant argumente qu’il était impossible d’attendre qu’il justifie, au stade du dépôt de la requête d’assistance juridique, des éléments et griefs définitifs d’un potentiel futur recours. Or, le recourant a requis l'assistance juridique par l'intermédiaire de son conseil, lequel avait ou devait avoir connaissance des conditions nécessaires à son octroi et des obligations de motivation qui lui incombent pour démontrer que celles-ci sont remplies. Sans qu’il ne soit exigé une motivation détaillée et exhaustive en lien avec les griefs qu’il entendait former contre la décision de l’OCPM du 22 février 2022, le recourant devait exposer, même sommairement, pour quel motif il estimait que son droit d’être entendu avait été violé, quels étaient ses problèmes de santé ou encore pour quel motif le rapport du SEM sollicité par l’OCPM ne lui apparaissait pas suffisant pour rendre une décision. Le recourant n’a en particulier pas fait état auprès de l'Autorité de première instance du fait qu’il n’avait jamais eu connaissance du rapport du SEM. Dans ces conditions, il ne peut être reproché à l'Autorité de première instance d’avoir retenu les éléments tels qu’exposés ci-dessus. En outre, si l’art. 8 CEDH n’est effectivement pas uniquement applicable aux situations dans lesquelles la famille de l’étranger vit en Suisse, il apparaît très peu probable, même sous l’angle étroit de la protection de la vie privée, qu’une protection soit accordée à un étranger arrivé en Suisse il y a à peine un an, nonobstant le fait qu’il s’agisse d’une personne mineure, le recourant ne faisant au demeurant pas état de l'existence de liens sociaux et professionnels spécialement intenses avec la Suisse. Au vu de ce qui précède, la Vice-présidente du Tribunal de première instance était fondée à retenir que les chances de succès du recours du recourant auprès du TAPI paraissaient très faibles. C'est donc de manière conforme au droit qu’elle a refusé d'octroyer le bénéfice de l'assistance judiciaire au recourant aux fins d'interjeter ledit recours. Partant, le recours, mal 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