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AC/66/2016 vom 12. Januar 2016</w:t>
      </w:r>
    </w:p>
    <w:p>
      <w:r>
        <w:t>GE Cour de justice, 2016-01-12, FR</w:t>
      </w:r>
    </w:p>
    <w:p>
      <w:r>
        <w:rPr>
          <w:b/>
        </w:rPr>
        <w:t xml:space="preserve">Quelle: </w:t>
      </w:r>
      <w:r>
        <w:t>https://mcp.opencaselaw.ch/entscheid/ge_gerichte_AC_66_2016</w:t>
      </w:r>
    </w:p>
    <w:p>
      <w:r>
        <w:t>FR: GE_GERICHTE AC/66/2016 du 12 janvier 2016</w:t>
      </w:r>
    </w:p>
    <w:p>
      <w:r>
        <w:t>IT: GE_GERICHTE AC/66/2016 del 12 gennaio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w:t>
      </w:r>
    </w:p>
    <w:p>
      <w:r>
        <w:t>Le recourant reproche au premier juge de ne pas avoir tenu compte dans ses charges de la cotisation AVS obligatoire, des charges relatives au logement et des frais de véhicule.![endif]&gt;![if&gt;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devant le premier juge le recourant a produit un document prouvant qu'il s'est acquitté régulièrement des charges relatives à son appartement. Dès lors, ces frais de 204 fr. par mois doivent être compris dans ses charges. En revanche, en première instance le recourant n'a produit aucun document prouvant qu'il s'acquittait de cotisations AVS – aucun versement relatif à cette charge résultant de ses extraits bancaires – ni allégué que l'usage d'un véhicule était nécessaire à son épouse. Ces frais n'avaient donc pas à être pris en considération. Au vu de ce qui précède, le ménage dispose de 5'161 fr. de ressources pour des charges de 4'244 fr. (4'040 fr. admis par le premier juge + 204 fr. de charges) de sorte qu'il dispose d'un solde mensuel de 917 fr. Par conséquent, compte tenu des faits portés à la connaissance du premier juge et des éléments en sa possession, la condition de l'indigence n'était pas remplie. Partant, le recours, infondé, sera rejeté. Cela étant, le recourant a la possibilité de déposer une nouvelle requête d'assistance juridique, accompagnée de toutes les pièces justificatives relatives à sa situation financière, notamment la preuve qu'il s'acquitte d'une cotisation AVS et l'attestation médicale selon laquelle son épouse doit nécessairement se déplacer en véhicule avec les factures relatives aux frais de celui-ci.</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28 janvier 2016 par A______ contre la décision rendue le 12 janvier 2016 par le Vice-président du Tribunal civil dans la cause AC/66/2016.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