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AC/668/2015 vom 15. April 2015</w:t>
      </w:r>
    </w:p>
    <w:p>
      <w:r>
        <w:t>GE Cour de justice, 2015-04-15, FR</w:t>
      </w:r>
    </w:p>
    <w:p>
      <w:r>
        <w:rPr>
          <w:b/>
        </w:rPr>
        <w:t xml:space="preserve">Quelle: </w:t>
      </w:r>
      <w:r>
        <w:t>https://mcp.opencaselaw.ch/entscheid/ge_gerichte_AC_668_2015</w:t>
      </w:r>
    </w:p>
    <w:p>
      <w:r>
        <w:t>FR: GE_GERICHTE AC/668/2015 du 15 avril 2015</w:t>
      </w:r>
    </w:p>
    <w:p>
      <w:r>
        <w:t>IT: GE_GERICHTE AC/668/2015 del 15 aprile 2015</w:t>
      </w:r>
    </w:p>
    <w:p>
      <w:pPr>
        <w:pStyle w:val="Heading2"/>
      </w:pPr>
      <w:r>
        <w:t>Regeste</w:t>
      </w:r>
    </w:p>
    <w:p>
      <w:r>
        <w:t>CHANCES DE SUCCÈS; ACTION EN MODIFICATION; DIVORCE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 Pour les mêmes raisons, il ne sera pas donné suite à l'apport de la procédure ayant abouti au jugement de divorce du 2 août 2012.</w:t>
      </w:r>
    </w:p>
    <w:p>
      <w:r>
        <w:rPr>
          <w:b/>
        </w:rPr>
        <w:t>E. 3</w:t>
      </w:r>
    </w:p>
    <w:p>
      <w:r>
        <w:t>Le recourant reproche au Vice-président du Tribunal civil d'avoir considéré que sa demande en modification du jugement de divorce était dénuée de chance de succès alors que ses revenus ont baissé de 227 fr. par mois, que les dépenses mensuelles importantes qu'il supporte actuellement constituent une modification importante, que la contribution à l'entretien de l'enfant augmentera de 100 fr. dès juillet 2015 et qu'il fait l'objet de plusieurs actes de défaut de bien, ce qui démontre sa mauvaise situation financière.![endif]&gt;![if&gt;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3.1.2 Le juge peut ordonner que la contribution d'entretien de l'enfant soit augmentée ou réduite dès que des changements déterminés interviennent dans les besoins de l'enfant, les ressources des père et mère ou le coût de la vie (art. 286 al. 1 CC). Si la situation change notablement, le juge modifie ou supprime la contribution d'entretien à la demande du père, de la mère ou de l'enfant (art. 286 al. 2 CC). Selon la jurisprudence, qui se rapporte essentiellement à la modification de la contribution à l'entretien de l'enfant fixée dans le cadre d'une procédure en divorce, une telle contribution ne peut être modifiée qu'aux conditions de l'art. 286 al. 2 CC, ce qui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Pour déterminer si la situation a notablement changé, au point qu'une autre décision s'impose, il faut examiner dans quelle mesure les capacités financières et les besoins respectifs des parties ont évolué depuis la première décision (ATF 120 II 285 consid. 4b; 120 II 177 consid. 3a; arrêt du Tribunal fédéral 5C.112/2002 du 27 novembre 2002 consid. 6.1; 5C.78/2001 du 24 août 2001 consid. 2a et 2b/bb).</w:t>
      </w:r>
    </w:p>
    <w:p>
      <w:r>
        <w:rPr>
          <w:b/>
        </w:rPr>
        <w:t>E. 3.2</w:t>
      </w:r>
    </w:p>
    <w:p>
      <w:r>
        <w:t>En l'espèce, le recourant a prouvé effectuer des dépenses régulièrement pour son enfant en sus du versement de la contribution d'entretien de sorte qu'il a rendu vraisemblable s'en occuper de manière accrue par rapport au droit de visite qui avait été fixé dans le cadre du jugement de divorce. Le premier juge a retenu que les revenus du recourant n'ont pas diminué puisqu'un revenu hypothétique de 3'000 fr. avait été retenu à son égard pour un travail à plein temps. Or, le recourant travaille actuellement à 80% pour un salaire mensuel net de 2'773 fr. et le Tribunal ne pourra a priori pas lui reprocher de ne limiter son temps de travail une fois établi que le recourant prend son enfant en charge la moitié du temps. Enfin, même en admettant qu'un revenu hypothétique de 3'000 fr. par mois puisse toujours être imputé au recourant, celui-ci a établi que ses charges mensuelles ne lui permettent, a priori , pas de verser les montants des contributions d'entretien auxquelles il a été condamné dans le jugement de divorce. En effet, ses charges incompressibles s'élèvent à 2'619 fr. comprenant le loyer (1'069 fr.), les frais de transport (70 fr.), sa prime d'assurance maladie (280 fr.) et son entretien de base selon les normes OP (1'200 fr.), de sorte que le recourant ne dispose que d'un solde mensuel d'environ 381 fr. (3'000 fr. – 2'619 fr.) alors que la contribution qu'il doit verser depuis le mois de juillet 2015 est de 500 fr. par mois. Au vu de ce qui précède, sur la base d'un examen sommaire, il n'apparait pas a priori que l'action en modification que désire intenter le recourant soit dénuée de chance de succès. Par conséquent, la décision entreprise sera annulée et la cause renvoyée au premier juge pour nouvelle décision après examen de la condition d'indigence, qui semble réalisée mais que le Vice-président du Tribunal civil n'a pas examinée.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27 avril 2015 par A______ contre la décision rendue le 15 avril 2015 par le Vice-président du Tribunal civil dans la cause AC/668/2015.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Nils DE DARDEL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